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707A47" w14:paraId="73E221D8" w14:textId="77777777" w:rsidTr="002949ED">
        <w:tc>
          <w:tcPr>
            <w:tcW w:w="4497" w:type="dxa"/>
            <w:tcBorders>
              <w:right w:val="single" w:sz="4" w:space="0" w:color="auto"/>
            </w:tcBorders>
          </w:tcPr>
          <w:p w14:paraId="687C2441" w14:textId="77777777" w:rsidR="000C40D7" w:rsidRPr="00707A47" w:rsidRDefault="00165F72" w:rsidP="00826D4C">
            <w:pPr>
              <w:rPr>
                <w:rFonts w:cs="Arial"/>
              </w:rPr>
            </w:pPr>
            <w:r w:rsidRPr="00707A47">
              <w:rPr>
                <w:rFonts w:cs="Arial"/>
                <w:b/>
              </w:rPr>
              <w:t xml:space="preserve">HISHAM HAMED, </w:t>
            </w:r>
            <w:r w:rsidRPr="00707A47">
              <w:rPr>
                <w:rFonts w:cs="Arial"/>
                <w:bCs/>
              </w:rPr>
              <w:t>individually</w:t>
            </w:r>
            <w:r w:rsidRPr="00707A47">
              <w:rPr>
                <w:rFonts w:cs="Arial"/>
                <w:b/>
              </w:rPr>
              <w:t>,</w:t>
            </w:r>
            <w:r w:rsidRPr="00707A47">
              <w:rPr>
                <w:rFonts w:cs="Arial"/>
              </w:rPr>
              <w:t xml:space="preserve"> </w:t>
            </w:r>
          </w:p>
          <w:p w14:paraId="5933C507" w14:textId="03D2BDE8" w:rsidR="000C40D7" w:rsidRPr="00707A47" w:rsidRDefault="00165F72" w:rsidP="00F06095">
            <w:pPr>
              <w:tabs>
                <w:tab w:val="right" w:pos="4281"/>
              </w:tabs>
              <w:rPr>
                <w:rFonts w:cs="Arial"/>
                <w:b/>
              </w:rPr>
            </w:pPr>
            <w:r w:rsidRPr="00707A47">
              <w:rPr>
                <w:rFonts w:cs="Arial"/>
              </w:rPr>
              <w:t>and</w:t>
            </w:r>
            <w:r w:rsidRPr="00707A47">
              <w:rPr>
                <w:rFonts w:cs="Arial"/>
                <w:b/>
              </w:rPr>
              <w:t xml:space="preserve"> </w:t>
            </w:r>
            <w:r w:rsidRPr="00707A47">
              <w:rPr>
                <w:rFonts w:cs="Arial"/>
              </w:rPr>
              <w:t>derivatively on behalf of</w:t>
            </w:r>
            <w:r w:rsidRPr="00707A47">
              <w:rPr>
                <w:rFonts w:cs="Arial"/>
                <w:b/>
              </w:rPr>
              <w:t xml:space="preserve"> </w:t>
            </w:r>
            <w:r w:rsidR="00F06095">
              <w:rPr>
                <w:rFonts w:cs="Arial"/>
                <w:b/>
              </w:rPr>
              <w:tab/>
            </w:r>
          </w:p>
          <w:p w14:paraId="183887BC" w14:textId="7D87AE39" w:rsidR="00165F72" w:rsidRPr="00707A47" w:rsidRDefault="00165F72" w:rsidP="00826D4C">
            <w:pPr>
              <w:rPr>
                <w:rFonts w:cs="Arial"/>
                <w:b/>
                <w:bCs/>
              </w:rPr>
            </w:pPr>
            <w:r w:rsidRPr="00707A47">
              <w:rPr>
                <w:rFonts w:cs="Arial"/>
                <w:b/>
              </w:rPr>
              <w:t>SIXTEEN PLUS CORPORATION</w:t>
            </w:r>
            <w:r w:rsidRPr="00707A47">
              <w:rPr>
                <w:rFonts w:cs="Arial"/>
                <w:b/>
                <w:bCs/>
              </w:rPr>
              <w:t>,</w:t>
            </w:r>
          </w:p>
          <w:p w14:paraId="4BBBF0C4" w14:textId="77777777" w:rsidR="00165F72" w:rsidRPr="00707A47" w:rsidRDefault="00165F72" w:rsidP="00826D4C">
            <w:pPr>
              <w:rPr>
                <w:rFonts w:cs="Arial"/>
                <w:b/>
                <w:bCs/>
              </w:rPr>
            </w:pPr>
          </w:p>
          <w:p w14:paraId="04107542" w14:textId="77777777" w:rsidR="00165F72" w:rsidRPr="00707A47" w:rsidRDefault="00165F72" w:rsidP="00826D4C">
            <w:pPr>
              <w:rPr>
                <w:rFonts w:cs="Arial"/>
                <w:bCs/>
                <w:i/>
              </w:rPr>
            </w:pPr>
            <w:r w:rsidRPr="00707A47">
              <w:rPr>
                <w:rFonts w:cs="Arial"/>
                <w:b/>
                <w:bCs/>
              </w:rPr>
              <w:tab/>
            </w:r>
            <w:r w:rsidRPr="00707A47">
              <w:rPr>
                <w:rFonts w:cs="Arial"/>
                <w:b/>
                <w:bCs/>
              </w:rPr>
              <w:tab/>
            </w:r>
            <w:r w:rsidRPr="00707A47">
              <w:rPr>
                <w:rFonts w:cs="Arial"/>
                <w:bCs/>
                <w:i/>
              </w:rPr>
              <w:t>Plaintiff,</w:t>
            </w:r>
          </w:p>
          <w:p w14:paraId="066F2797" w14:textId="6360D5D5" w:rsidR="00165F72" w:rsidRPr="00707A47" w:rsidRDefault="00165F72" w:rsidP="00826D4C">
            <w:pPr>
              <w:rPr>
                <w:rFonts w:cs="Arial"/>
                <w:bCs/>
              </w:rPr>
            </w:pPr>
            <w:r w:rsidRPr="00707A47">
              <w:rPr>
                <w:rFonts w:cs="Arial"/>
                <w:b/>
                <w:bCs/>
              </w:rPr>
              <w:tab/>
            </w:r>
            <w:r w:rsidRPr="00707A47">
              <w:rPr>
                <w:rFonts w:cs="Arial"/>
                <w:bCs/>
              </w:rPr>
              <w:t>v.</w:t>
            </w:r>
          </w:p>
          <w:p w14:paraId="14F82E2A" w14:textId="77777777" w:rsidR="00212EA8" w:rsidRPr="00707A47" w:rsidRDefault="00212EA8" w:rsidP="00826D4C">
            <w:pPr>
              <w:rPr>
                <w:rFonts w:cs="Arial"/>
                <w:bCs/>
              </w:rPr>
            </w:pPr>
          </w:p>
          <w:p w14:paraId="714E91B0" w14:textId="100FB64F" w:rsidR="00165F72" w:rsidRPr="00707A47" w:rsidRDefault="00165F72" w:rsidP="00826D4C">
            <w:pPr>
              <w:pStyle w:val="yiv784145645msonormal"/>
              <w:spacing w:before="0" w:beforeAutospacing="0" w:after="0" w:afterAutospacing="0"/>
              <w:rPr>
                <w:rFonts w:ascii="Arial" w:hAnsi="Arial" w:cs="Arial"/>
                <w:b/>
                <w:bCs/>
              </w:rPr>
            </w:pPr>
            <w:r w:rsidRPr="00707A47">
              <w:rPr>
                <w:rFonts w:ascii="Arial" w:hAnsi="Arial" w:cs="Arial"/>
                <w:b/>
              </w:rPr>
              <w:t>FATHI YUSUF, ISAM YOUSUF</w:t>
            </w:r>
            <w:r w:rsidRPr="00707A47">
              <w:rPr>
                <w:rFonts w:ascii="Arial" w:hAnsi="Arial" w:cs="Arial"/>
                <w:bCs/>
              </w:rPr>
              <w:t xml:space="preserve"> and </w:t>
            </w:r>
            <w:r w:rsidRPr="00707A47">
              <w:rPr>
                <w:rFonts w:ascii="Arial" w:hAnsi="Arial" w:cs="Arial"/>
                <w:b/>
                <w:bCs/>
              </w:rPr>
              <w:t>JAMIL YOUS</w:t>
            </w:r>
            <w:r w:rsidR="00033207" w:rsidRPr="00707A47">
              <w:rPr>
                <w:rFonts w:ascii="Arial" w:hAnsi="Arial" w:cs="Arial"/>
                <w:b/>
                <w:bCs/>
              </w:rPr>
              <w:t>U</w:t>
            </w:r>
            <w:r w:rsidRPr="00707A47">
              <w:rPr>
                <w:rFonts w:ascii="Arial" w:hAnsi="Arial" w:cs="Arial"/>
                <w:b/>
                <w:bCs/>
              </w:rPr>
              <w:t>F</w:t>
            </w:r>
            <w:r w:rsidR="00212EA8" w:rsidRPr="00707A47">
              <w:rPr>
                <w:rFonts w:ascii="Arial" w:hAnsi="Arial" w:cs="Arial"/>
                <w:b/>
                <w:bCs/>
              </w:rPr>
              <w:t>,</w:t>
            </w:r>
          </w:p>
          <w:p w14:paraId="45D1BF41" w14:textId="77777777" w:rsidR="00212EA8" w:rsidRPr="00707A47" w:rsidRDefault="00212EA8" w:rsidP="00826D4C">
            <w:pPr>
              <w:pStyle w:val="yiv784145645msonormal"/>
              <w:spacing w:before="0" w:beforeAutospacing="0" w:after="0" w:afterAutospacing="0"/>
              <w:rPr>
                <w:rFonts w:ascii="Arial" w:hAnsi="Arial" w:cs="Arial"/>
                <w:b/>
              </w:rPr>
            </w:pPr>
          </w:p>
          <w:p w14:paraId="6E37F1DD" w14:textId="77777777" w:rsidR="00165F72" w:rsidRPr="00707A47" w:rsidRDefault="00165F72" w:rsidP="00826D4C">
            <w:pPr>
              <w:rPr>
                <w:rFonts w:cs="Arial"/>
                <w:bCs/>
                <w:i/>
              </w:rPr>
            </w:pPr>
            <w:r w:rsidRPr="00707A47">
              <w:rPr>
                <w:rFonts w:cs="Arial"/>
                <w:b/>
                <w:bCs/>
              </w:rPr>
              <w:tab/>
            </w:r>
            <w:r w:rsidRPr="00707A47">
              <w:rPr>
                <w:rFonts w:cs="Arial"/>
                <w:b/>
                <w:bCs/>
              </w:rPr>
              <w:tab/>
            </w:r>
            <w:r w:rsidRPr="00707A47">
              <w:rPr>
                <w:rFonts w:cs="Arial"/>
                <w:bCs/>
                <w:i/>
              </w:rPr>
              <w:t>Defendants,</w:t>
            </w:r>
          </w:p>
          <w:p w14:paraId="73469EE6" w14:textId="77777777" w:rsidR="00165F72" w:rsidRPr="00707A47" w:rsidRDefault="00165F72" w:rsidP="00826D4C">
            <w:pPr>
              <w:rPr>
                <w:rFonts w:cs="Arial"/>
                <w:b/>
                <w:bCs/>
              </w:rPr>
            </w:pPr>
          </w:p>
          <w:p w14:paraId="774AC1E1" w14:textId="0B2EDB3C" w:rsidR="00165F72" w:rsidRPr="00707A47" w:rsidRDefault="003065FE" w:rsidP="00826D4C">
            <w:pPr>
              <w:rPr>
                <w:rFonts w:cs="Arial"/>
                <w:bCs/>
              </w:rPr>
            </w:pPr>
            <w:r w:rsidRPr="00707A47">
              <w:rPr>
                <w:rFonts w:cs="Arial"/>
                <w:bCs/>
              </w:rPr>
              <w:t xml:space="preserve">     </w:t>
            </w:r>
            <w:r w:rsidR="002938D9" w:rsidRPr="00707A47">
              <w:rPr>
                <w:rFonts w:cs="Arial"/>
                <w:bCs/>
              </w:rPr>
              <w:t xml:space="preserve">      </w:t>
            </w:r>
            <w:r w:rsidR="00165F72" w:rsidRPr="00707A47">
              <w:rPr>
                <w:rFonts w:cs="Arial"/>
                <w:bCs/>
              </w:rPr>
              <w:t>and</w:t>
            </w:r>
          </w:p>
          <w:p w14:paraId="09FCDD56" w14:textId="77777777" w:rsidR="00165F72" w:rsidRPr="00707A47" w:rsidRDefault="00165F72" w:rsidP="00826D4C">
            <w:pPr>
              <w:rPr>
                <w:rFonts w:cs="Arial"/>
                <w:b/>
                <w:bCs/>
              </w:rPr>
            </w:pPr>
          </w:p>
          <w:p w14:paraId="44C3E4D0" w14:textId="77777777" w:rsidR="00165F72" w:rsidRPr="00707A47" w:rsidRDefault="00165F72" w:rsidP="00826D4C">
            <w:pPr>
              <w:rPr>
                <w:rFonts w:cs="Arial"/>
                <w:b/>
                <w:bCs/>
              </w:rPr>
            </w:pPr>
            <w:r w:rsidRPr="00707A47">
              <w:rPr>
                <w:rFonts w:cs="Arial"/>
                <w:b/>
                <w:bCs/>
              </w:rPr>
              <w:t>SIXTEEN PLUS CORPORATION,</w:t>
            </w:r>
          </w:p>
          <w:p w14:paraId="2A2DDEB9" w14:textId="77777777" w:rsidR="00165F72" w:rsidRPr="00707A47" w:rsidRDefault="00165F72" w:rsidP="00826D4C">
            <w:pPr>
              <w:rPr>
                <w:rFonts w:cs="Arial"/>
                <w:b/>
                <w:bCs/>
              </w:rPr>
            </w:pPr>
          </w:p>
          <w:p w14:paraId="3CC62CE8" w14:textId="3EAA8268" w:rsidR="00165F72" w:rsidRPr="00707A47" w:rsidRDefault="003065FE" w:rsidP="00826D4C">
            <w:pPr>
              <w:rPr>
                <w:rFonts w:cs="Arial"/>
                <w:bCs/>
                <w:i/>
              </w:rPr>
            </w:pPr>
            <w:r w:rsidRPr="00707A47">
              <w:rPr>
                <w:rFonts w:cs="Arial"/>
                <w:b/>
                <w:bCs/>
              </w:rPr>
              <w:t xml:space="preserve">           </w:t>
            </w:r>
            <w:r w:rsidR="00E617CA" w:rsidRPr="00707A47">
              <w:rPr>
                <w:rFonts w:cs="Arial"/>
                <w:b/>
                <w:bCs/>
              </w:rPr>
              <w:t xml:space="preserve">           </w:t>
            </w:r>
            <w:r w:rsidR="00165F72" w:rsidRPr="00707A47">
              <w:rPr>
                <w:rFonts w:cs="Arial"/>
                <w:bCs/>
                <w:i/>
              </w:rPr>
              <w:t>a nominal Defendant.</w:t>
            </w:r>
          </w:p>
        </w:tc>
        <w:tc>
          <w:tcPr>
            <w:tcW w:w="4523" w:type="dxa"/>
          </w:tcPr>
          <w:p w14:paraId="356B48D5" w14:textId="0430DD39" w:rsidR="00033207" w:rsidRPr="00707A47" w:rsidRDefault="00165F72" w:rsidP="00826D4C">
            <w:pPr>
              <w:rPr>
                <w:rFonts w:cs="Arial"/>
                <w:b/>
                <w:bCs/>
              </w:rPr>
            </w:pPr>
            <w:r w:rsidRPr="00707A47">
              <w:rPr>
                <w:rFonts w:cs="Arial"/>
                <w:b/>
                <w:bCs/>
              </w:rPr>
              <w:tab/>
              <w:t>Case No.: SX-</w:t>
            </w:r>
            <w:r w:rsidR="009F2AB4" w:rsidRPr="00707A47">
              <w:rPr>
                <w:rFonts w:cs="Arial"/>
                <w:b/>
                <w:bCs/>
              </w:rPr>
              <w:t>2016-</w:t>
            </w:r>
            <w:r w:rsidRPr="00707A47">
              <w:rPr>
                <w:rFonts w:cs="Arial"/>
                <w:b/>
                <w:bCs/>
              </w:rPr>
              <w:t>CV-</w:t>
            </w:r>
            <w:r w:rsidR="009F2AB4" w:rsidRPr="00707A47">
              <w:rPr>
                <w:rFonts w:cs="Arial"/>
                <w:b/>
                <w:bCs/>
              </w:rPr>
              <w:t>00</w:t>
            </w:r>
            <w:r w:rsidRPr="00707A47">
              <w:rPr>
                <w:rFonts w:cs="Arial"/>
                <w:b/>
                <w:bCs/>
              </w:rPr>
              <w:t>650</w:t>
            </w:r>
          </w:p>
          <w:p w14:paraId="68FA3102" w14:textId="062E331B" w:rsidR="00165F72" w:rsidRPr="00707A47" w:rsidRDefault="00165F72" w:rsidP="00826D4C">
            <w:pPr>
              <w:rPr>
                <w:rFonts w:cs="Arial"/>
                <w:b/>
                <w:bCs/>
              </w:rPr>
            </w:pPr>
            <w:r w:rsidRPr="00707A47">
              <w:rPr>
                <w:rFonts w:cs="Arial"/>
                <w:b/>
                <w:bCs/>
              </w:rPr>
              <w:t xml:space="preserve"> </w:t>
            </w:r>
          </w:p>
          <w:p w14:paraId="6136F7FC" w14:textId="77777777" w:rsidR="00165F72" w:rsidRPr="00707A47" w:rsidRDefault="00165F72" w:rsidP="00826D4C">
            <w:pPr>
              <w:rPr>
                <w:rFonts w:cs="Arial"/>
                <w:b/>
                <w:bCs/>
              </w:rPr>
            </w:pPr>
          </w:p>
          <w:p w14:paraId="14D46BB8" w14:textId="6FD5EBCB" w:rsidR="00165F72" w:rsidRPr="00707A47" w:rsidRDefault="00165F72" w:rsidP="00EE6656">
            <w:pPr>
              <w:ind w:left="702" w:hanging="702"/>
              <w:rPr>
                <w:rFonts w:cs="Arial"/>
                <w:b/>
                <w:bCs/>
              </w:rPr>
            </w:pPr>
            <w:r w:rsidRPr="00707A47">
              <w:rPr>
                <w:rFonts w:cs="Arial"/>
                <w:b/>
                <w:bCs/>
              </w:rPr>
              <w:tab/>
              <w:t>DERIVATIVE SHAREHOLDER SUIT, ACTION FOR DAMAGES AND CICO RELIEF</w:t>
            </w:r>
          </w:p>
          <w:p w14:paraId="7CC3B178" w14:textId="77777777" w:rsidR="00033207" w:rsidRPr="00707A47" w:rsidRDefault="00033207" w:rsidP="00826D4C">
            <w:pPr>
              <w:ind w:hanging="702"/>
              <w:rPr>
                <w:rFonts w:cs="Arial"/>
                <w:b/>
                <w:bCs/>
              </w:rPr>
            </w:pPr>
          </w:p>
          <w:p w14:paraId="34353E46" w14:textId="77777777" w:rsidR="00165F72" w:rsidRPr="00707A47" w:rsidRDefault="00165F72" w:rsidP="00826D4C">
            <w:pPr>
              <w:rPr>
                <w:rFonts w:cs="Arial"/>
                <w:b/>
                <w:bCs/>
              </w:rPr>
            </w:pPr>
          </w:p>
          <w:p w14:paraId="79A2C164" w14:textId="77777777" w:rsidR="00165F72" w:rsidRPr="00707A47" w:rsidRDefault="00165F72" w:rsidP="00826D4C">
            <w:pPr>
              <w:rPr>
                <w:rFonts w:cs="Arial"/>
                <w:b/>
                <w:bCs/>
                <w:u w:val="single"/>
              </w:rPr>
            </w:pPr>
            <w:r w:rsidRPr="00707A47">
              <w:rPr>
                <w:rFonts w:cs="Arial"/>
                <w:b/>
                <w:bCs/>
              </w:rPr>
              <w:tab/>
            </w:r>
            <w:r w:rsidRPr="00707A47">
              <w:rPr>
                <w:rFonts w:cs="Arial"/>
                <w:b/>
                <w:bCs/>
                <w:u w:val="single"/>
              </w:rPr>
              <w:t>JURY TRIAL DEMANDED</w:t>
            </w:r>
          </w:p>
        </w:tc>
      </w:tr>
      <w:tr w:rsidR="00165F72" w:rsidRPr="00707A47" w14:paraId="7348756A" w14:textId="77777777" w:rsidTr="002949ED">
        <w:tc>
          <w:tcPr>
            <w:tcW w:w="4497" w:type="dxa"/>
            <w:tcBorders>
              <w:bottom w:val="single" w:sz="4" w:space="0" w:color="auto"/>
              <w:right w:val="single" w:sz="4" w:space="0" w:color="auto"/>
            </w:tcBorders>
          </w:tcPr>
          <w:p w14:paraId="453959DF" w14:textId="77777777" w:rsidR="00165F72" w:rsidRPr="00707A47" w:rsidRDefault="00165F72" w:rsidP="00826D4C">
            <w:pPr>
              <w:rPr>
                <w:rFonts w:cs="Arial"/>
                <w:b/>
              </w:rPr>
            </w:pPr>
          </w:p>
        </w:tc>
        <w:tc>
          <w:tcPr>
            <w:tcW w:w="4523" w:type="dxa"/>
          </w:tcPr>
          <w:p w14:paraId="4439AA56" w14:textId="77777777" w:rsidR="00165F72" w:rsidRPr="00707A47" w:rsidRDefault="00165F72" w:rsidP="00826D4C">
            <w:pPr>
              <w:rPr>
                <w:rFonts w:cs="Arial"/>
                <w:b/>
                <w:bCs/>
              </w:rPr>
            </w:pPr>
          </w:p>
        </w:tc>
      </w:tr>
    </w:tbl>
    <w:p w14:paraId="65504E0D" w14:textId="6037179C" w:rsidR="00B82318" w:rsidRPr="00707A47" w:rsidRDefault="00000000" w:rsidP="00826D4C">
      <w:pPr>
        <w:rPr>
          <w:rFonts w:cs="Arial"/>
        </w:rPr>
      </w:pPr>
    </w:p>
    <w:p w14:paraId="69E29A45" w14:textId="77777777" w:rsidR="004A454A" w:rsidRDefault="005F69BB" w:rsidP="0050083B">
      <w:pPr>
        <w:adjustRightInd w:val="0"/>
        <w:contextualSpacing/>
        <w:jc w:val="center"/>
        <w:rPr>
          <w:rFonts w:cs="Arial"/>
          <w:b/>
          <w:bCs/>
        </w:rPr>
      </w:pPr>
      <w:bookmarkStart w:id="0" w:name="_Hlk121329315"/>
      <w:r w:rsidRPr="00707A47">
        <w:rPr>
          <w:rFonts w:cs="Arial"/>
          <w:b/>
          <w:bCs/>
        </w:rPr>
        <w:t>HISHAM HAMED’S</w:t>
      </w:r>
    </w:p>
    <w:p w14:paraId="418C6EA2" w14:textId="14465975" w:rsidR="00E001DA" w:rsidRDefault="0050083B" w:rsidP="0050083B">
      <w:pPr>
        <w:adjustRightInd w:val="0"/>
        <w:contextualSpacing/>
        <w:jc w:val="center"/>
        <w:rPr>
          <w:rFonts w:cs="Arial"/>
          <w:b/>
          <w:bCs/>
        </w:rPr>
      </w:pPr>
      <w:r>
        <w:rPr>
          <w:rFonts w:cs="Arial"/>
          <w:b/>
          <w:bCs/>
        </w:rPr>
        <w:t>FIRST</w:t>
      </w:r>
      <w:r w:rsidR="00D54183">
        <w:rPr>
          <w:rFonts w:cs="Arial"/>
          <w:b/>
          <w:bCs/>
        </w:rPr>
        <w:t xml:space="preserve"> RULE 15(d) MOTION</w:t>
      </w:r>
    </w:p>
    <w:p w14:paraId="33F35847" w14:textId="646BE409" w:rsidR="0050083B" w:rsidRPr="00707A47" w:rsidRDefault="0050083B" w:rsidP="0050083B">
      <w:pPr>
        <w:adjustRightInd w:val="0"/>
        <w:contextualSpacing/>
        <w:jc w:val="center"/>
        <w:rPr>
          <w:rFonts w:cs="Arial"/>
          <w:b/>
          <w:bCs/>
        </w:rPr>
      </w:pPr>
      <w:r>
        <w:rPr>
          <w:rFonts w:cs="Arial"/>
          <w:b/>
          <w:bCs/>
        </w:rPr>
        <w:t>FOR LEAVE TO FILE SUPPLEMENTAL COMPLAINT</w:t>
      </w:r>
    </w:p>
    <w:p w14:paraId="307C0DD7" w14:textId="77777777" w:rsidR="003B12E6" w:rsidRPr="00707A47" w:rsidRDefault="003B12E6" w:rsidP="00826D4C">
      <w:pPr>
        <w:adjustRightInd w:val="0"/>
        <w:contextualSpacing/>
        <w:jc w:val="center"/>
        <w:rPr>
          <w:rFonts w:cs="Arial"/>
          <w:b/>
          <w:bCs/>
        </w:rPr>
      </w:pPr>
    </w:p>
    <w:bookmarkEnd w:id="0"/>
    <w:p w14:paraId="16203A7A" w14:textId="77777777" w:rsidR="0050083B" w:rsidRPr="0050083B" w:rsidRDefault="00FD72E4" w:rsidP="00D67557">
      <w:pPr>
        <w:pStyle w:val="ListParagraph"/>
        <w:numPr>
          <w:ilvl w:val="0"/>
          <w:numId w:val="46"/>
        </w:numPr>
        <w:spacing w:after="0" w:line="480" w:lineRule="auto"/>
        <w:jc w:val="both"/>
        <w:outlineLvl w:val="0"/>
        <w:rPr>
          <w:rFonts w:ascii="Arial" w:hAnsi="Arial" w:cs="Arial"/>
          <w:b/>
          <w:bCs/>
          <w:color w:val="000000"/>
          <w:sz w:val="24"/>
        </w:rPr>
      </w:pPr>
      <w:r w:rsidRPr="0050083B">
        <w:rPr>
          <w:rFonts w:cs="Arial"/>
          <w:b/>
          <w:bCs/>
          <w:color w:val="000000"/>
        </w:rPr>
        <w:tab/>
      </w:r>
      <w:r w:rsidR="0050083B" w:rsidRPr="0050083B">
        <w:rPr>
          <w:rFonts w:ascii="Arial" w:hAnsi="Arial" w:cs="Arial"/>
          <w:b/>
          <w:bCs/>
          <w:color w:val="000000"/>
          <w:sz w:val="24"/>
        </w:rPr>
        <w:t>Introduction</w:t>
      </w:r>
    </w:p>
    <w:p w14:paraId="443242A1" w14:textId="6A4671EB" w:rsidR="00D54183" w:rsidRPr="004A454A" w:rsidRDefault="0050083B" w:rsidP="00D67557">
      <w:pPr>
        <w:spacing w:line="480" w:lineRule="auto"/>
        <w:ind w:firstLine="720"/>
        <w:jc w:val="both"/>
        <w:outlineLvl w:val="0"/>
        <w:rPr>
          <w:rFonts w:cs="Arial"/>
          <w:color w:val="000000"/>
        </w:rPr>
      </w:pPr>
      <w:r w:rsidRPr="00C450D1">
        <w:rPr>
          <w:rFonts w:cs="Arial"/>
          <w:color w:val="000000"/>
        </w:rPr>
        <w:t xml:space="preserve">On December 18, 2022, Hisham Hamed (“Hamed”) filed </w:t>
      </w:r>
      <w:r w:rsidR="004A454A">
        <w:rPr>
          <w:rFonts w:cs="Arial"/>
          <w:color w:val="000000"/>
        </w:rPr>
        <w:t>a</w:t>
      </w:r>
      <w:r w:rsidRPr="00C450D1">
        <w:rPr>
          <w:rFonts w:cs="Arial"/>
          <w:color w:val="000000"/>
        </w:rPr>
        <w:t xml:space="preserve"> </w:t>
      </w:r>
      <w:r w:rsidRPr="00C450D1">
        <w:rPr>
          <w:rFonts w:cs="Arial"/>
          <w:i/>
          <w:iCs/>
          <w:color w:val="000000"/>
        </w:rPr>
        <w:t>Motion to Amend his First Amended Complaint</w:t>
      </w:r>
      <w:r w:rsidRPr="00C450D1">
        <w:rPr>
          <w:rFonts w:cs="Arial"/>
          <w:color w:val="000000"/>
        </w:rPr>
        <w:t xml:space="preserve"> (“FAC”) seeking to join Manal Yousef (“Manal”) as a defendant. Following a mutually agreed extension, on January 23, 2023, Fathi Yusuf (“Yusuf”) filed his timely opposition</w:t>
      </w:r>
      <w:r w:rsidR="00DC2D27">
        <w:rPr>
          <w:rFonts w:cs="Arial"/>
          <w:i/>
          <w:iCs/>
          <w:color w:val="000000"/>
        </w:rPr>
        <w:t xml:space="preserve">. </w:t>
      </w:r>
      <w:r w:rsidR="00DC2D27">
        <w:rPr>
          <w:rFonts w:cs="Arial"/>
          <w:color w:val="000000"/>
        </w:rPr>
        <w:t xml:space="preserve">Today, February 6, 2023, Hamed filed his </w:t>
      </w:r>
      <w:r w:rsidR="00DC2D27" w:rsidRPr="00DC2D27">
        <w:rPr>
          <w:rFonts w:cs="Arial"/>
          <w:i/>
          <w:iCs/>
          <w:color w:val="000000"/>
        </w:rPr>
        <w:t>Reply to Fathi Yusuf’s Opposition to Hamed’s Motion to Amend His First Amended Complaint (to Join Manal Yousef as a Defendant</w:t>
      </w:r>
      <w:r w:rsidR="00DC2D27">
        <w:rPr>
          <w:rFonts w:cs="Arial"/>
          <w:color w:val="000000"/>
        </w:rPr>
        <w:t xml:space="preserve">). </w:t>
      </w:r>
      <w:r>
        <w:rPr>
          <w:rFonts w:cs="Arial"/>
          <w:color w:val="000000"/>
        </w:rPr>
        <w:t xml:space="preserve">In </w:t>
      </w:r>
      <w:r w:rsidR="00D54183">
        <w:rPr>
          <w:rFonts w:cs="Arial"/>
          <w:color w:val="000000"/>
        </w:rPr>
        <w:t>his</w:t>
      </w:r>
      <w:r>
        <w:rPr>
          <w:rFonts w:cs="Arial"/>
          <w:color w:val="000000"/>
        </w:rPr>
        <w:t xml:space="preserve"> opposition</w:t>
      </w:r>
      <w:r w:rsidR="00DC2D27">
        <w:rPr>
          <w:rFonts w:cs="Arial"/>
          <w:color w:val="000000"/>
        </w:rPr>
        <w:t xml:space="preserve"> to that motion to amend</w:t>
      </w:r>
      <w:r>
        <w:rPr>
          <w:rFonts w:cs="Arial"/>
          <w:color w:val="000000"/>
        </w:rPr>
        <w:t>, Yusuf ma</w:t>
      </w:r>
      <w:r w:rsidR="005A651D">
        <w:rPr>
          <w:rFonts w:cs="Arial"/>
          <w:color w:val="000000"/>
        </w:rPr>
        <w:t>de</w:t>
      </w:r>
      <w:r>
        <w:rPr>
          <w:rFonts w:cs="Arial"/>
          <w:color w:val="000000"/>
        </w:rPr>
        <w:t xml:space="preserve"> </w:t>
      </w:r>
      <w:r w:rsidR="00D54183">
        <w:rPr>
          <w:rFonts w:cs="Arial"/>
          <w:color w:val="000000"/>
        </w:rPr>
        <w:t xml:space="preserve">what </w:t>
      </w:r>
      <w:r>
        <w:rPr>
          <w:rFonts w:cs="Arial"/>
          <w:color w:val="000000"/>
        </w:rPr>
        <w:t xml:space="preserve">Hamed </w:t>
      </w:r>
      <w:r w:rsidR="00D54183">
        <w:rPr>
          <w:rFonts w:cs="Arial"/>
          <w:color w:val="000000"/>
        </w:rPr>
        <w:t xml:space="preserve">understands </w:t>
      </w:r>
      <w:r w:rsidR="005A651D">
        <w:rPr>
          <w:rFonts w:cs="Arial"/>
          <w:color w:val="000000"/>
        </w:rPr>
        <w:t>to be</w:t>
      </w:r>
      <w:r w:rsidR="00D54183">
        <w:rPr>
          <w:rFonts w:cs="Arial"/>
          <w:color w:val="000000"/>
        </w:rPr>
        <w:t xml:space="preserve"> a</w:t>
      </w:r>
      <w:r>
        <w:rPr>
          <w:rFonts w:cs="Arial"/>
          <w:color w:val="000000"/>
        </w:rPr>
        <w:t xml:space="preserve"> distinction between the allegations in the FAC and allegations </w:t>
      </w:r>
      <w:r w:rsidR="00D54183">
        <w:rPr>
          <w:rFonts w:cs="Arial"/>
          <w:color w:val="000000"/>
        </w:rPr>
        <w:t xml:space="preserve">about events </w:t>
      </w:r>
      <w:r>
        <w:rPr>
          <w:rFonts w:cs="Arial"/>
          <w:color w:val="000000"/>
        </w:rPr>
        <w:t xml:space="preserve">that are post-FAC. </w:t>
      </w:r>
      <w:r w:rsidR="00D54183">
        <w:rPr>
          <w:rFonts w:cs="Arial"/>
          <w:color w:val="000000"/>
        </w:rPr>
        <w:t>O</w:t>
      </w:r>
      <w:r>
        <w:rPr>
          <w:rFonts w:cs="Arial"/>
          <w:color w:val="000000"/>
        </w:rPr>
        <w:t xml:space="preserve">ut of an abundance of caution, Hamed hereby files this Rule 15(d) motion for leave to supplement the FAC as to post-FAC information. </w:t>
      </w:r>
      <w:r w:rsidR="00D54183" w:rsidRPr="00D54183">
        <w:rPr>
          <w:rFonts w:cs="Arial"/>
          <w:b/>
          <w:bCs/>
          <w:color w:val="000000"/>
        </w:rPr>
        <w:t xml:space="preserve">To be clear, Hamed does not seek to alter the proposed </w:t>
      </w:r>
      <w:r w:rsidR="00D54183">
        <w:rPr>
          <w:rFonts w:cs="Arial"/>
          <w:b/>
          <w:bCs/>
          <w:color w:val="000000"/>
        </w:rPr>
        <w:t>Second Amended C</w:t>
      </w:r>
      <w:r w:rsidR="00D54183" w:rsidRPr="00D54183">
        <w:rPr>
          <w:rFonts w:cs="Arial"/>
          <w:b/>
          <w:bCs/>
          <w:color w:val="000000"/>
        </w:rPr>
        <w:t>omplaint</w:t>
      </w:r>
      <w:r w:rsidR="00D54183">
        <w:rPr>
          <w:rFonts w:cs="Arial"/>
          <w:b/>
          <w:bCs/>
          <w:color w:val="000000"/>
        </w:rPr>
        <w:t xml:space="preserve"> as filed on </w:t>
      </w:r>
      <w:r w:rsidR="00D54183">
        <w:rPr>
          <w:rFonts w:cs="Arial"/>
          <w:b/>
          <w:bCs/>
          <w:color w:val="000000"/>
        </w:rPr>
        <w:lastRenderedPageBreak/>
        <w:t>December 18</w:t>
      </w:r>
      <w:r w:rsidR="00D54183" w:rsidRPr="00D54183">
        <w:rPr>
          <w:rFonts w:cs="Arial"/>
          <w:b/>
          <w:bCs/>
          <w:color w:val="000000"/>
          <w:vertAlign w:val="superscript"/>
        </w:rPr>
        <w:t>th</w:t>
      </w:r>
      <w:r w:rsidR="00D54183">
        <w:rPr>
          <w:rFonts w:cs="Arial"/>
          <w:b/>
          <w:bCs/>
          <w:color w:val="000000"/>
        </w:rPr>
        <w:t xml:space="preserve"> with the motion to amend</w:t>
      </w:r>
      <w:r w:rsidR="00D54183" w:rsidRPr="004A454A">
        <w:rPr>
          <w:rFonts w:cs="Arial"/>
          <w:color w:val="000000"/>
        </w:rPr>
        <w:t>—merely to provide additional support</w:t>
      </w:r>
      <w:r w:rsidR="005A651D">
        <w:rPr>
          <w:rFonts w:cs="Arial"/>
          <w:color w:val="000000"/>
        </w:rPr>
        <w:t xml:space="preserve">—renaming it </w:t>
      </w:r>
      <w:r w:rsidR="00D54183" w:rsidRPr="004A454A">
        <w:rPr>
          <w:rFonts w:cs="Arial"/>
          <w:color w:val="000000"/>
        </w:rPr>
        <w:t xml:space="preserve">the </w:t>
      </w:r>
      <w:r w:rsidR="00D54183" w:rsidRPr="005A651D">
        <w:rPr>
          <w:rFonts w:cs="Arial"/>
          <w:i/>
          <w:iCs/>
          <w:color w:val="000000"/>
        </w:rPr>
        <w:t>Second Amended and Supplemented Complaint</w:t>
      </w:r>
      <w:r w:rsidR="00D54183" w:rsidRPr="004A454A">
        <w:rPr>
          <w:rFonts w:cs="Arial"/>
          <w:color w:val="000000"/>
        </w:rPr>
        <w:t xml:space="preserve"> (“SASC”)</w:t>
      </w:r>
    </w:p>
    <w:p w14:paraId="7DFC4638" w14:textId="7B6CFF27" w:rsidR="0050083B" w:rsidRDefault="0050083B" w:rsidP="00D67557">
      <w:pPr>
        <w:spacing w:line="480" w:lineRule="auto"/>
        <w:ind w:firstLine="720"/>
        <w:jc w:val="both"/>
        <w:outlineLvl w:val="0"/>
        <w:rPr>
          <w:rFonts w:cs="Arial"/>
          <w:color w:val="000000"/>
        </w:rPr>
      </w:pPr>
      <w:r>
        <w:rPr>
          <w:rFonts w:cs="Arial"/>
          <w:color w:val="000000"/>
        </w:rPr>
        <w:t xml:space="preserve">Attached hereto as </w:t>
      </w:r>
      <w:r w:rsidRPr="0050083B">
        <w:rPr>
          <w:rFonts w:cs="Arial"/>
          <w:b/>
          <w:bCs/>
          <w:color w:val="000000"/>
        </w:rPr>
        <w:t>Exhibit A</w:t>
      </w:r>
      <w:r>
        <w:rPr>
          <w:rFonts w:cs="Arial"/>
          <w:color w:val="000000"/>
        </w:rPr>
        <w:t xml:space="preserve"> is Hamed’s proposed </w:t>
      </w:r>
      <w:r w:rsidRPr="0050083B">
        <w:rPr>
          <w:rFonts w:cs="Arial"/>
          <w:color w:val="000000"/>
        </w:rPr>
        <w:t>Second Amended and Supplemented Complaint (“SASC”) which</w:t>
      </w:r>
      <w:r w:rsidR="00C428DE">
        <w:rPr>
          <w:rFonts w:cs="Arial"/>
          <w:color w:val="000000"/>
        </w:rPr>
        <w:t xml:space="preserve">, except for the </w:t>
      </w:r>
      <w:r w:rsidR="005A651D">
        <w:rPr>
          <w:rFonts w:cs="Arial"/>
          <w:color w:val="000000"/>
        </w:rPr>
        <w:t>name</w:t>
      </w:r>
      <w:r w:rsidR="00C428DE">
        <w:rPr>
          <w:rFonts w:cs="Arial"/>
          <w:color w:val="000000"/>
        </w:rPr>
        <w:t>,</w:t>
      </w:r>
      <w:r w:rsidRPr="0050083B">
        <w:rPr>
          <w:rFonts w:cs="Arial"/>
          <w:color w:val="000000"/>
        </w:rPr>
        <w:t xml:space="preserve"> is </w:t>
      </w:r>
      <w:r w:rsidRPr="0050083B">
        <w:rPr>
          <w:rFonts w:cs="Arial"/>
          <w:i/>
          <w:iCs/>
          <w:color w:val="000000"/>
          <w:u w:val="single"/>
        </w:rPr>
        <w:t>identical</w:t>
      </w:r>
      <w:r w:rsidRPr="0050083B">
        <w:rPr>
          <w:rFonts w:cs="Arial"/>
          <w:color w:val="000000"/>
        </w:rPr>
        <w:t xml:space="preserve"> to the Second Amended Complaint (“SAC”) at</w:t>
      </w:r>
      <w:r>
        <w:rPr>
          <w:rFonts w:cs="Arial"/>
          <w:color w:val="000000"/>
        </w:rPr>
        <w:t xml:space="preserve">tached as an exhibit to Hamed’s </w:t>
      </w:r>
      <w:r w:rsidR="00DC2D27">
        <w:rPr>
          <w:rFonts w:cs="Arial"/>
          <w:color w:val="000000"/>
        </w:rPr>
        <w:t>m</w:t>
      </w:r>
      <w:r>
        <w:rPr>
          <w:rFonts w:cs="Arial"/>
          <w:color w:val="000000"/>
        </w:rPr>
        <w:t xml:space="preserve">otion to </w:t>
      </w:r>
      <w:r w:rsidR="00DC2D27">
        <w:rPr>
          <w:rFonts w:cs="Arial"/>
          <w:color w:val="000000"/>
        </w:rPr>
        <w:t xml:space="preserve">amend </w:t>
      </w:r>
      <w:r>
        <w:rPr>
          <w:rFonts w:cs="Arial"/>
          <w:color w:val="000000"/>
        </w:rPr>
        <w:t xml:space="preserve">dated December 18, 2022. </w:t>
      </w:r>
      <w:r w:rsidR="005A651D" w:rsidRPr="005A651D">
        <w:rPr>
          <w:rFonts w:cs="Arial"/>
          <w:b/>
          <w:bCs/>
          <w:color w:val="000000"/>
        </w:rPr>
        <w:t>Exhibit B</w:t>
      </w:r>
      <w:r w:rsidR="005A651D">
        <w:rPr>
          <w:rFonts w:cs="Arial"/>
          <w:color w:val="000000"/>
        </w:rPr>
        <w:t xml:space="preserve"> is the redline, and </w:t>
      </w:r>
      <w:r w:rsidR="005A651D" w:rsidRPr="005A651D">
        <w:rPr>
          <w:rFonts w:cs="Arial"/>
          <w:b/>
          <w:bCs/>
          <w:color w:val="000000"/>
        </w:rPr>
        <w:t>Exhibit C</w:t>
      </w:r>
      <w:r w:rsidR="005A651D">
        <w:rPr>
          <w:rFonts w:cs="Arial"/>
          <w:color w:val="000000"/>
        </w:rPr>
        <w:t xml:space="preserve"> is the proposed order.</w:t>
      </w:r>
    </w:p>
    <w:p w14:paraId="0288E1BB" w14:textId="77777777" w:rsidR="0050083B" w:rsidRPr="0050083B" w:rsidRDefault="0050083B" w:rsidP="00D67557">
      <w:pPr>
        <w:pStyle w:val="ListParagraph"/>
        <w:numPr>
          <w:ilvl w:val="0"/>
          <w:numId w:val="46"/>
        </w:numPr>
        <w:spacing w:after="0" w:line="480" w:lineRule="auto"/>
        <w:jc w:val="both"/>
        <w:outlineLvl w:val="0"/>
        <w:rPr>
          <w:rFonts w:ascii="Arial" w:hAnsi="Arial" w:cs="Arial"/>
          <w:b/>
          <w:bCs/>
          <w:color w:val="000000"/>
          <w:sz w:val="24"/>
        </w:rPr>
      </w:pPr>
      <w:r w:rsidRPr="0050083B">
        <w:rPr>
          <w:rFonts w:ascii="Arial" w:hAnsi="Arial" w:cs="Arial"/>
          <w:b/>
          <w:bCs/>
          <w:color w:val="000000"/>
          <w:sz w:val="24"/>
        </w:rPr>
        <w:t>Applicable Law</w:t>
      </w:r>
    </w:p>
    <w:p w14:paraId="58488611" w14:textId="77777777" w:rsidR="0050083B" w:rsidRDefault="0050083B" w:rsidP="00D67557">
      <w:pPr>
        <w:ind w:firstLine="720"/>
        <w:jc w:val="both"/>
        <w:outlineLvl w:val="0"/>
        <w:rPr>
          <w:rFonts w:cs="Arial"/>
        </w:rPr>
      </w:pPr>
      <w:r w:rsidRPr="007649C7">
        <w:rPr>
          <w:rFonts w:cs="Arial"/>
        </w:rPr>
        <w:t>The federal and USVI texts of Rule 15(d) are identical:</w:t>
      </w:r>
    </w:p>
    <w:p w14:paraId="714C30C9" w14:textId="77777777" w:rsidR="0050083B" w:rsidRPr="007649C7" w:rsidRDefault="0050083B" w:rsidP="00D67557">
      <w:pPr>
        <w:jc w:val="both"/>
        <w:outlineLvl w:val="0"/>
        <w:rPr>
          <w:rFonts w:cs="Arial"/>
          <w:color w:val="3D3D3D"/>
          <w:szCs w:val="27"/>
          <w:shd w:val="clear" w:color="auto" w:fill="FFFFFF"/>
        </w:rPr>
      </w:pPr>
    </w:p>
    <w:p w14:paraId="12F89478" w14:textId="77777777" w:rsidR="0050083B" w:rsidRDefault="0050083B" w:rsidP="00D67557">
      <w:pPr>
        <w:ind w:left="720" w:right="720"/>
        <w:jc w:val="both"/>
        <w:outlineLvl w:val="0"/>
        <w:rPr>
          <w:rFonts w:cs="Arial"/>
          <w:color w:val="212121"/>
          <w:szCs w:val="18"/>
          <w:shd w:val="clear" w:color="auto" w:fill="FFFFFF"/>
        </w:rPr>
      </w:pPr>
      <w:r w:rsidRPr="007649C7">
        <w:rPr>
          <w:rFonts w:cs="Arial"/>
          <w:color w:val="212121"/>
          <w:szCs w:val="18"/>
          <w:shd w:val="clear" w:color="auto" w:fill="FFFFFF"/>
        </w:rPr>
        <w:t>On motion and reasonable notice, the court may, on just terms, permit a party to serve a supplemental pleading setting out any transaction, occurrence, or event that happened after the date of the pleading to be supplemented. The court may permit supplementation even though the original pleading is defective in stating a claim or defense. The court may order that the opposing party plead to the supplemental pleading within a specified time.</w:t>
      </w:r>
    </w:p>
    <w:p w14:paraId="65648666" w14:textId="77777777" w:rsidR="0050083B" w:rsidRDefault="0050083B" w:rsidP="00D67557">
      <w:pPr>
        <w:ind w:left="720" w:right="720"/>
        <w:jc w:val="both"/>
        <w:outlineLvl w:val="0"/>
        <w:rPr>
          <w:rFonts w:cs="Arial"/>
          <w:color w:val="212121"/>
          <w:szCs w:val="18"/>
          <w:shd w:val="clear" w:color="auto" w:fill="FFFFFF"/>
        </w:rPr>
      </w:pPr>
    </w:p>
    <w:p w14:paraId="5C84E9D8" w14:textId="1B0D71C0" w:rsidR="0050083B" w:rsidRDefault="0050083B" w:rsidP="00D67557">
      <w:pPr>
        <w:spacing w:line="480" w:lineRule="auto"/>
        <w:jc w:val="both"/>
        <w:outlineLvl w:val="0"/>
        <w:rPr>
          <w:rStyle w:val="ssrfcpassagedeactivated"/>
          <w:rFonts w:cs="Arial"/>
          <w:color w:val="000000"/>
          <w:bdr w:val="none" w:sz="0" w:space="0" w:color="auto" w:frame="1"/>
        </w:rPr>
      </w:pPr>
      <w:r w:rsidRPr="00827616">
        <w:rPr>
          <w:rFonts w:cs="Arial"/>
          <w:color w:val="212121"/>
          <w:szCs w:val="18"/>
          <w:shd w:val="clear" w:color="auto" w:fill="FFFFFF"/>
        </w:rPr>
        <w:t>“</w:t>
      </w:r>
      <w:r w:rsidRPr="00827616">
        <w:rPr>
          <w:rStyle w:val="ssrfcpassagedeactivated"/>
          <w:rFonts w:cs="Arial"/>
          <w:color w:val="000000"/>
          <w:bdr w:val="none" w:sz="0" w:space="0" w:color="auto" w:frame="1"/>
        </w:rPr>
        <w:t xml:space="preserve">Rule 15(d) permits ‘claims which arise </w:t>
      </w:r>
      <w:r w:rsidRPr="00D54183">
        <w:rPr>
          <w:rStyle w:val="ssrfcpassagedeactivated"/>
          <w:rFonts w:cs="Arial"/>
          <w:i/>
          <w:iCs/>
          <w:color w:val="000000"/>
          <w:bdr w:val="none" w:sz="0" w:space="0" w:color="auto" w:frame="1"/>
        </w:rPr>
        <w:t>after the initial pleadings are filed</w:t>
      </w:r>
      <w:r w:rsidR="005A651D">
        <w:rPr>
          <w:rStyle w:val="ssrfcpassagedeactivated"/>
          <w:rFonts w:cs="Arial"/>
          <w:color w:val="000000"/>
          <w:bdr w:val="none" w:sz="0" w:space="0" w:color="auto" w:frame="1"/>
        </w:rPr>
        <w:t>’</w:t>
      </w:r>
      <w:r w:rsidRPr="00827616">
        <w:rPr>
          <w:rStyle w:val="ssrfcpassagedeactivated"/>
          <w:rFonts w:cs="Arial"/>
          <w:color w:val="000000"/>
          <w:bdr w:val="none" w:sz="0" w:space="0" w:color="auto" w:frame="1"/>
        </w:rPr>
        <w:t xml:space="preserve"> to be added because the goal of the rule ‘is to promote as complete an adjudication of the dispute between the parties as possible.’</w:t>
      </w:r>
      <w:r w:rsidRPr="00827616">
        <w:rPr>
          <w:rFonts w:cs="Arial"/>
        </w:rPr>
        <w:t xml:space="preserve"> </w:t>
      </w:r>
      <w:r w:rsidRPr="00827616">
        <w:rPr>
          <w:rFonts w:cs="Arial"/>
          <w:i/>
          <w:iCs/>
          <w:bdr w:val="none" w:sz="0" w:space="0" w:color="auto" w:frame="1"/>
        </w:rPr>
        <w:t>Martinez v. Hess Oil V.I. Corp</w:t>
      </w:r>
      <w:r w:rsidRPr="00827616">
        <w:rPr>
          <w:rFonts w:cs="Arial"/>
          <w:bdr w:val="none" w:sz="0" w:space="0" w:color="auto" w:frame="1"/>
        </w:rPr>
        <w:t xml:space="preserve">., 69 V.I. 519, 545 (Super. Ct. 2018)(citing </w:t>
      </w:r>
      <w:r w:rsidRPr="00827616">
        <w:rPr>
          <w:rStyle w:val="ssit"/>
          <w:rFonts w:cs="Arial"/>
          <w:i/>
          <w:iCs/>
          <w:color w:val="000000"/>
          <w:bdr w:val="none" w:sz="0" w:space="0" w:color="auto" w:frame="1"/>
        </w:rPr>
        <w:t>William Inglis &amp; Sons Baking Co. v. ITT Cont'l Baking Co.</w:t>
      </w:r>
      <w:r w:rsidRPr="00827616">
        <w:rPr>
          <w:rStyle w:val="ssrfcpassagedeactivated"/>
          <w:rFonts w:cs="Arial"/>
          <w:color w:val="000000"/>
          <w:bdr w:val="none" w:sz="0" w:space="0" w:color="auto" w:frame="1"/>
        </w:rPr>
        <w:t>, 668 F.2d 1014, 1057 (9th Cir. 1981)). </w:t>
      </w:r>
    </w:p>
    <w:p w14:paraId="720BE7CC" w14:textId="77777777" w:rsidR="0050083B" w:rsidRPr="0050083B" w:rsidRDefault="0050083B" w:rsidP="00D67557">
      <w:pPr>
        <w:pStyle w:val="ListParagraph"/>
        <w:numPr>
          <w:ilvl w:val="0"/>
          <w:numId w:val="46"/>
        </w:numPr>
        <w:spacing w:after="0" w:line="480" w:lineRule="auto"/>
        <w:jc w:val="both"/>
        <w:outlineLvl w:val="0"/>
        <w:rPr>
          <w:rStyle w:val="ssrfcpassagedeactivated"/>
          <w:rFonts w:ascii="Arial" w:hAnsi="Arial" w:cs="Arial"/>
          <w:b/>
          <w:bCs/>
          <w:color w:val="000000"/>
          <w:sz w:val="24"/>
          <w:bdr w:val="none" w:sz="0" w:space="0" w:color="auto" w:frame="1"/>
        </w:rPr>
      </w:pPr>
      <w:r w:rsidRPr="0050083B">
        <w:rPr>
          <w:rStyle w:val="ssrfcpassagedeactivated"/>
          <w:rFonts w:ascii="Arial" w:hAnsi="Arial" w:cs="Arial"/>
          <w:b/>
          <w:bCs/>
          <w:color w:val="000000"/>
          <w:sz w:val="24"/>
          <w:bdr w:val="none" w:sz="0" w:space="0" w:color="auto" w:frame="1"/>
        </w:rPr>
        <w:t>The Procedural Posture</w:t>
      </w:r>
    </w:p>
    <w:p w14:paraId="4DC85F44" w14:textId="2A305493" w:rsidR="0050083B" w:rsidRDefault="0050083B" w:rsidP="00D67557">
      <w:pPr>
        <w:pStyle w:val="FootnoteText"/>
        <w:spacing w:line="480" w:lineRule="auto"/>
        <w:ind w:firstLine="720"/>
        <w:jc w:val="both"/>
        <w:outlineLvl w:val="0"/>
        <w:rPr>
          <w:rFonts w:ascii="Arial" w:hAnsi="Arial" w:cs="Arial"/>
          <w:sz w:val="24"/>
        </w:rPr>
      </w:pPr>
      <w:r w:rsidRPr="00000BF6">
        <w:rPr>
          <w:rFonts w:ascii="Arial" w:hAnsi="Arial" w:cs="Arial"/>
          <w:sz w:val="24"/>
        </w:rPr>
        <w:t>On July 27, 20</w:t>
      </w:r>
      <w:r w:rsidRPr="00DC2D27">
        <w:rPr>
          <w:rFonts w:ascii="Arial" w:hAnsi="Arial" w:cs="Arial"/>
          <w:b/>
          <w:bCs/>
          <w:sz w:val="24"/>
        </w:rPr>
        <w:t>15</w:t>
      </w:r>
      <w:r w:rsidRPr="00000BF6">
        <w:rPr>
          <w:rFonts w:ascii="Arial" w:hAnsi="Arial" w:cs="Arial"/>
          <w:sz w:val="24"/>
        </w:rPr>
        <w:t>, Fathi Yusuf filed ST-2015-CV-000344</w:t>
      </w:r>
      <w:r>
        <w:rPr>
          <w:rFonts w:ascii="Arial" w:hAnsi="Arial" w:cs="Arial"/>
          <w:sz w:val="24"/>
        </w:rPr>
        <w:t xml:space="preserve"> </w:t>
      </w:r>
      <w:r w:rsidR="00FF4809">
        <w:rPr>
          <w:rFonts w:ascii="Arial" w:hAnsi="Arial" w:cs="Arial"/>
          <w:sz w:val="24"/>
        </w:rPr>
        <w:t xml:space="preserve">(“344 action”) </w:t>
      </w:r>
      <w:r>
        <w:rPr>
          <w:rFonts w:ascii="Arial" w:hAnsi="Arial" w:cs="Arial"/>
          <w:sz w:val="24"/>
        </w:rPr>
        <w:t>on St. Thomas</w:t>
      </w:r>
      <w:r w:rsidR="005A651D">
        <w:rPr>
          <w:rFonts w:ascii="Arial" w:hAnsi="Arial" w:cs="Arial"/>
          <w:sz w:val="24"/>
        </w:rPr>
        <w:t>—</w:t>
      </w:r>
      <w:r w:rsidRPr="00000BF6">
        <w:rPr>
          <w:rFonts w:ascii="Arial" w:hAnsi="Arial" w:cs="Arial"/>
          <w:sz w:val="24"/>
        </w:rPr>
        <w:t xml:space="preserve">against “Sixteen Plus Corporation….Mohammad A. Hamed, Waleed M. Hamed, Waheed M. Hamed, Mufeed M. Hamed, and Hisham M. Hamed”. </w:t>
      </w:r>
      <w:r w:rsidR="005A651D">
        <w:rPr>
          <w:rFonts w:ascii="Arial" w:hAnsi="Arial" w:cs="Arial"/>
          <w:sz w:val="24"/>
        </w:rPr>
        <w:t>He</w:t>
      </w:r>
      <w:r w:rsidRPr="00000BF6">
        <w:rPr>
          <w:rFonts w:ascii="Arial" w:hAnsi="Arial" w:cs="Arial"/>
          <w:sz w:val="24"/>
        </w:rPr>
        <w:t xml:space="preserve"> sought:</w:t>
      </w:r>
      <w:r w:rsidRPr="000E5495">
        <w:rPr>
          <w:rFonts w:ascii="Arial" w:hAnsi="Arial" w:cs="Arial"/>
          <w:sz w:val="24"/>
        </w:rPr>
        <w:t xml:space="preserve"> </w:t>
      </w:r>
    </w:p>
    <w:p w14:paraId="3F2CE246" w14:textId="77777777" w:rsidR="0050083B" w:rsidRDefault="0050083B" w:rsidP="00D67557">
      <w:pPr>
        <w:pStyle w:val="FootnoteText"/>
        <w:ind w:left="720" w:right="720"/>
        <w:jc w:val="both"/>
        <w:outlineLvl w:val="0"/>
        <w:rPr>
          <w:rFonts w:ascii="Arial" w:hAnsi="Arial" w:cs="Arial"/>
          <w:sz w:val="24"/>
        </w:rPr>
      </w:pPr>
      <w:r w:rsidRPr="000E5495">
        <w:rPr>
          <w:rFonts w:ascii="Arial" w:hAnsi="Arial" w:cs="Arial"/>
          <w:sz w:val="24"/>
        </w:rPr>
        <w:t xml:space="preserve">3. An order dissolving…Sixteen Plus and directing the windup of the corporation[]; [and] </w:t>
      </w:r>
    </w:p>
    <w:p w14:paraId="37F160A3" w14:textId="77777777" w:rsidR="0050083B" w:rsidRPr="005A651D" w:rsidRDefault="0050083B" w:rsidP="00D67557">
      <w:pPr>
        <w:pStyle w:val="FootnoteText"/>
        <w:ind w:left="720" w:right="720"/>
        <w:jc w:val="both"/>
        <w:outlineLvl w:val="0"/>
        <w:rPr>
          <w:rFonts w:ascii="Arial" w:hAnsi="Arial" w:cs="Arial"/>
          <w:sz w:val="12"/>
          <w:szCs w:val="12"/>
        </w:rPr>
      </w:pPr>
    </w:p>
    <w:p w14:paraId="42151273" w14:textId="77777777" w:rsidR="0050083B" w:rsidRDefault="0050083B" w:rsidP="00D67557">
      <w:pPr>
        <w:pStyle w:val="FootnoteText"/>
        <w:ind w:left="720" w:right="720"/>
        <w:jc w:val="both"/>
        <w:outlineLvl w:val="0"/>
        <w:rPr>
          <w:rFonts w:ascii="Arial" w:hAnsi="Arial" w:cs="Arial"/>
          <w:sz w:val="24"/>
        </w:rPr>
      </w:pPr>
      <w:r w:rsidRPr="000E5495">
        <w:rPr>
          <w:rFonts w:ascii="Arial" w:hAnsi="Arial" w:cs="Arial"/>
          <w:sz w:val="24"/>
        </w:rPr>
        <w:t>4. An order appointing a receiver for…Sixteen Plus to sell the real estate holdings of both corporations. . .</w:t>
      </w:r>
    </w:p>
    <w:p w14:paraId="3D719953" w14:textId="77777777" w:rsidR="0050083B" w:rsidRDefault="0050083B" w:rsidP="00D67557">
      <w:pPr>
        <w:pStyle w:val="FootnoteText"/>
        <w:ind w:left="720" w:right="720"/>
        <w:jc w:val="both"/>
        <w:outlineLvl w:val="0"/>
        <w:rPr>
          <w:rFonts w:ascii="Arial" w:hAnsi="Arial" w:cs="Arial"/>
          <w:sz w:val="24"/>
        </w:rPr>
      </w:pPr>
    </w:p>
    <w:p w14:paraId="4A13CCEF" w14:textId="1CD33C12" w:rsidR="0050083B" w:rsidRDefault="0050083B" w:rsidP="00D67557">
      <w:pPr>
        <w:spacing w:line="480" w:lineRule="auto"/>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lastRenderedPageBreak/>
        <w:t>Th</w:t>
      </w:r>
      <w:r w:rsidR="00D54183">
        <w:rPr>
          <w:rStyle w:val="ssrfcpassagedeactivated"/>
          <w:rFonts w:cs="Arial"/>
          <w:color w:val="000000"/>
          <w:bdr w:val="none" w:sz="0" w:space="0" w:color="auto" w:frame="1"/>
        </w:rPr>
        <w:t>at 344 action</w:t>
      </w:r>
      <w:r>
        <w:rPr>
          <w:rStyle w:val="ssrfcpassagedeactivated"/>
          <w:rFonts w:cs="Arial"/>
          <w:color w:val="000000"/>
          <w:bdr w:val="none" w:sz="0" w:space="0" w:color="auto" w:frame="1"/>
        </w:rPr>
        <w:t xml:space="preserve"> was the first of several “Diamond Keturah” cases </w:t>
      </w:r>
      <w:r w:rsidR="00D54183">
        <w:rPr>
          <w:rStyle w:val="ssrfcpassagedeactivated"/>
          <w:rFonts w:cs="Arial"/>
          <w:color w:val="000000"/>
          <w:bdr w:val="none" w:sz="0" w:space="0" w:color="auto" w:frame="1"/>
        </w:rPr>
        <w:t xml:space="preserve">filed by various </w:t>
      </w:r>
      <w:r w:rsidR="00D04BFC">
        <w:rPr>
          <w:rStyle w:val="ssrfcpassagedeactivated"/>
          <w:rFonts w:cs="Arial"/>
          <w:color w:val="000000"/>
          <w:bdr w:val="none" w:sz="0" w:space="0" w:color="auto" w:frame="1"/>
        </w:rPr>
        <w:t>parties</w:t>
      </w:r>
      <w:r w:rsidR="005A651D">
        <w:rPr>
          <w:rStyle w:val="ssrfcpassagedeactivated"/>
          <w:rFonts w:cs="Arial"/>
          <w:color w:val="000000"/>
          <w:bdr w:val="none" w:sz="0" w:space="0" w:color="auto" w:frame="1"/>
        </w:rPr>
        <w:t>—</w:t>
      </w:r>
      <w:r w:rsidR="00D04BFC">
        <w:rPr>
          <w:rStyle w:val="ssrfcpassagedeactivated"/>
          <w:rFonts w:cs="Arial"/>
          <w:color w:val="000000"/>
          <w:bdr w:val="none" w:sz="0" w:space="0" w:color="auto" w:frame="1"/>
        </w:rPr>
        <w:t>and</w:t>
      </w:r>
      <w:r>
        <w:rPr>
          <w:rStyle w:val="ssrfcpassagedeactivated"/>
          <w:rFonts w:cs="Arial"/>
          <w:color w:val="000000"/>
          <w:bdr w:val="none" w:sz="0" w:space="0" w:color="auto" w:frame="1"/>
        </w:rPr>
        <w:t xml:space="preserve"> asked the </w:t>
      </w:r>
      <w:r w:rsidR="00FF4809">
        <w:rPr>
          <w:rStyle w:val="ssrfcpassagedeactivated"/>
          <w:rFonts w:cs="Arial"/>
          <w:color w:val="000000"/>
          <w:bdr w:val="none" w:sz="0" w:space="0" w:color="auto" w:frame="1"/>
        </w:rPr>
        <w:t>c</w:t>
      </w:r>
      <w:r>
        <w:rPr>
          <w:rStyle w:val="ssrfcpassagedeactivated"/>
          <w:rFonts w:cs="Arial"/>
          <w:color w:val="000000"/>
          <w:bdr w:val="none" w:sz="0" w:space="0" w:color="auto" w:frame="1"/>
        </w:rPr>
        <w:t xml:space="preserve">ourt to </w:t>
      </w:r>
      <w:r w:rsidR="004A454A">
        <w:rPr>
          <w:rStyle w:val="ssrfcpassagedeactivated"/>
          <w:rFonts w:cs="Arial"/>
          <w:color w:val="000000"/>
          <w:bdr w:val="none" w:sz="0" w:space="0" w:color="auto" w:frame="1"/>
        </w:rPr>
        <w:t xml:space="preserve">dissolve Sixteen Plus in an attempt to </w:t>
      </w:r>
      <w:r>
        <w:rPr>
          <w:rStyle w:val="ssrfcpassagedeactivated"/>
          <w:rFonts w:cs="Arial"/>
          <w:color w:val="000000"/>
          <w:bdr w:val="none" w:sz="0" w:space="0" w:color="auto" w:frame="1"/>
        </w:rPr>
        <w:t xml:space="preserve">trigger the foreclosure of what Hamed alleges is a sham note and mortgage. </w:t>
      </w:r>
    </w:p>
    <w:p w14:paraId="74A9C71C" w14:textId="39866FB8" w:rsidR="0050083B" w:rsidRDefault="0050083B" w:rsidP="00D67557">
      <w:pPr>
        <w:spacing w:line="480" w:lineRule="auto"/>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ab/>
        <w:t xml:space="preserve">In response, on February 12, 2016, Sixteen Plus Corporation filed a declaratory judgment action against Manal Yousef, seeking to void the </w:t>
      </w:r>
      <w:r w:rsidR="00FF4809">
        <w:rPr>
          <w:rStyle w:val="ssrfcpassagedeactivated"/>
          <w:rFonts w:cs="Arial"/>
          <w:color w:val="000000"/>
          <w:bdr w:val="none" w:sz="0" w:space="0" w:color="auto" w:frame="1"/>
        </w:rPr>
        <w:t xml:space="preserve">sham </w:t>
      </w:r>
      <w:r>
        <w:rPr>
          <w:rStyle w:val="ssrfcpassagedeactivated"/>
          <w:rFonts w:cs="Arial"/>
          <w:color w:val="000000"/>
          <w:bdr w:val="none" w:sz="0" w:space="0" w:color="auto" w:frame="1"/>
        </w:rPr>
        <w:t xml:space="preserve">note and mortgage </w:t>
      </w:r>
      <w:r w:rsidR="00D54183">
        <w:rPr>
          <w:rStyle w:val="ssrfcpassagedeactivated"/>
          <w:rFonts w:cs="Arial"/>
          <w:color w:val="000000"/>
          <w:bdr w:val="none" w:sz="0" w:space="0" w:color="auto" w:frame="1"/>
        </w:rPr>
        <w:t>(</w:t>
      </w:r>
      <w:r>
        <w:rPr>
          <w:rStyle w:val="ssrfcpassagedeactivated"/>
          <w:rFonts w:cs="Arial"/>
          <w:color w:val="000000"/>
          <w:bdr w:val="none" w:sz="0" w:space="0" w:color="auto" w:frame="1"/>
        </w:rPr>
        <w:t>from Sixteen Plus to Manal</w:t>
      </w:r>
      <w:r w:rsidR="00D54183">
        <w:rPr>
          <w:rStyle w:val="ssrfcpassagedeactivated"/>
          <w:rFonts w:cs="Arial"/>
          <w:color w:val="000000"/>
          <w:bdr w:val="none" w:sz="0" w:space="0" w:color="auto" w:frame="1"/>
        </w:rPr>
        <w:t>)</w:t>
      </w:r>
      <w:r>
        <w:rPr>
          <w:rStyle w:val="ssrfcpassagedeactivated"/>
          <w:rFonts w:cs="Arial"/>
          <w:color w:val="000000"/>
          <w:bdr w:val="none" w:sz="0" w:space="0" w:color="auto" w:frame="1"/>
        </w:rPr>
        <w:t xml:space="preserve"> on the Diamond Keturah land</w:t>
      </w:r>
      <w:r w:rsidR="00FF4809">
        <w:rPr>
          <w:rStyle w:val="ssrfcpassagedeactivated"/>
          <w:rFonts w:cs="Arial"/>
          <w:color w:val="000000"/>
          <w:bdr w:val="none" w:sz="0" w:space="0" w:color="auto" w:frame="1"/>
        </w:rPr>
        <w:t xml:space="preserve">. </w:t>
      </w:r>
      <w:r w:rsidR="005A651D">
        <w:rPr>
          <w:rStyle w:val="ssrfcpassagedeactivated"/>
          <w:rFonts w:cs="Arial"/>
          <w:color w:val="000000"/>
          <w:bdr w:val="none" w:sz="0" w:space="0" w:color="auto" w:frame="1"/>
        </w:rPr>
        <w:t xml:space="preserve">It was alleged that the sole consideration for the purchase of the land </w:t>
      </w:r>
      <w:r w:rsidR="00DC2D27">
        <w:rPr>
          <w:rStyle w:val="ssrfcpassagedeactivated"/>
          <w:rFonts w:cs="Arial"/>
          <w:color w:val="000000"/>
          <w:bdr w:val="none" w:sz="0" w:space="0" w:color="auto" w:frame="1"/>
        </w:rPr>
        <w:t>came from</w:t>
      </w:r>
      <w:r w:rsidR="005A651D">
        <w:rPr>
          <w:rStyle w:val="ssrfcpassagedeactivated"/>
          <w:rFonts w:cs="Arial"/>
          <w:color w:val="000000"/>
          <w:bdr w:val="none" w:sz="0" w:space="0" w:color="auto" w:frame="1"/>
        </w:rPr>
        <w:t xml:space="preserve"> Sixteen Plus itself, and that Manal was nothing more than a ‘straw-man’ in a tax avoidance scheme. </w:t>
      </w:r>
      <w:r w:rsidR="00FF4809">
        <w:rPr>
          <w:rStyle w:val="ssrfcpassagedeactivated"/>
          <w:rFonts w:cs="Arial"/>
          <w:color w:val="000000"/>
          <w:bdr w:val="none" w:sz="0" w:space="0" w:color="auto" w:frame="1"/>
        </w:rPr>
        <w:t xml:space="preserve">SX-2016-CV-00065 (“65 action”).  </w:t>
      </w:r>
    </w:p>
    <w:p w14:paraId="3551BAA1" w14:textId="44CDA520" w:rsidR="00FF4809" w:rsidRDefault="00FF4809"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Hisham </w:t>
      </w:r>
      <w:r w:rsidR="0050083B">
        <w:rPr>
          <w:rStyle w:val="ssrfcpassagedeactivated"/>
          <w:rFonts w:cs="Arial"/>
          <w:color w:val="000000"/>
          <w:bdr w:val="none" w:sz="0" w:space="0" w:color="auto" w:frame="1"/>
        </w:rPr>
        <w:t xml:space="preserve">Hamed, </w:t>
      </w:r>
      <w:r>
        <w:rPr>
          <w:rStyle w:val="ssrfcpassagedeactivated"/>
          <w:rFonts w:cs="Arial"/>
          <w:color w:val="000000"/>
          <w:bdr w:val="none" w:sz="0" w:space="0" w:color="auto" w:frame="1"/>
        </w:rPr>
        <w:t>being shareholder of Sixteen Plus</w:t>
      </w:r>
      <w:r w:rsidR="005A651D">
        <w:rPr>
          <w:rStyle w:val="ssrfcpassagedeactivated"/>
          <w:rFonts w:cs="Arial"/>
          <w:color w:val="000000"/>
          <w:bdr w:val="none" w:sz="0" w:space="0" w:color="auto" w:frame="1"/>
        </w:rPr>
        <w:t xml:space="preserve"> who was not </w:t>
      </w:r>
      <w:r w:rsidR="00E032EE">
        <w:rPr>
          <w:rStyle w:val="ssrfcpassagedeactivated"/>
          <w:rFonts w:cs="Arial"/>
          <w:color w:val="000000"/>
          <w:bdr w:val="none" w:sz="0" w:space="0" w:color="auto" w:frame="1"/>
        </w:rPr>
        <w:t xml:space="preserve">involved </w:t>
      </w:r>
      <w:r w:rsidR="00DC2D27">
        <w:rPr>
          <w:rStyle w:val="ssrfcpassagedeactivated"/>
          <w:rFonts w:cs="Arial"/>
          <w:color w:val="000000"/>
          <w:bdr w:val="none" w:sz="0" w:space="0" w:color="auto" w:frame="1"/>
        </w:rPr>
        <w:t>during that time period--</w:t>
      </w:r>
      <w:r w:rsidR="00E032EE">
        <w:rPr>
          <w:rStyle w:val="ssrfcpassagedeactivated"/>
          <w:rFonts w:cs="Arial"/>
          <w:color w:val="000000"/>
          <w:bdr w:val="none" w:sz="0" w:space="0" w:color="auto" w:frame="1"/>
        </w:rPr>
        <w:t xml:space="preserve">in the </w:t>
      </w:r>
      <w:r w:rsidR="00DC2D27">
        <w:rPr>
          <w:rStyle w:val="ssrfcpassagedeactivated"/>
          <w:rFonts w:cs="Arial"/>
          <w:color w:val="000000"/>
          <w:bdr w:val="none" w:sz="0" w:space="0" w:color="auto" w:frame="1"/>
        </w:rPr>
        <w:t xml:space="preserve">funds “transfers”, </w:t>
      </w:r>
      <w:r w:rsidR="00E032EE">
        <w:rPr>
          <w:rStyle w:val="ssrfcpassagedeactivated"/>
          <w:rFonts w:cs="Arial"/>
          <w:color w:val="000000"/>
          <w:bdr w:val="none" w:sz="0" w:space="0" w:color="auto" w:frame="1"/>
        </w:rPr>
        <w:t>note, mortgage or purchase of the land</w:t>
      </w:r>
      <w:r w:rsidR="00DC2D27">
        <w:rPr>
          <w:rStyle w:val="ssrfcpassagedeactivated"/>
          <w:rFonts w:cs="Arial"/>
          <w:color w:val="000000"/>
          <w:bdr w:val="none" w:sz="0" w:space="0" w:color="auto" w:frame="1"/>
        </w:rPr>
        <w:t>--</w:t>
      </w:r>
      <w:r w:rsidR="0050083B">
        <w:rPr>
          <w:rStyle w:val="ssrfcpassagedeactivated"/>
          <w:rFonts w:cs="Arial"/>
          <w:color w:val="000000"/>
          <w:bdr w:val="none" w:sz="0" w:space="0" w:color="auto" w:frame="1"/>
        </w:rPr>
        <w:t xml:space="preserve">learned a great deal </w:t>
      </w:r>
      <w:r w:rsidR="00E032EE">
        <w:rPr>
          <w:rStyle w:val="ssrfcpassagedeactivated"/>
          <w:rFonts w:cs="Arial"/>
          <w:color w:val="000000"/>
          <w:bdr w:val="none" w:sz="0" w:space="0" w:color="auto" w:frame="1"/>
        </w:rPr>
        <w:t xml:space="preserve">from those pleadings </w:t>
      </w:r>
      <w:r w:rsidR="0050083B">
        <w:rPr>
          <w:rStyle w:val="ssrfcpassagedeactivated"/>
          <w:rFonts w:cs="Arial"/>
          <w:color w:val="000000"/>
          <w:bdr w:val="none" w:sz="0" w:space="0" w:color="auto" w:frame="1"/>
        </w:rPr>
        <w:t>about</w:t>
      </w:r>
      <w:r w:rsidR="00E032EE">
        <w:rPr>
          <w:rStyle w:val="ssrfcpassagedeactivated"/>
          <w:rFonts w:cs="Arial"/>
          <w:color w:val="000000"/>
          <w:bdr w:val="none" w:sz="0" w:space="0" w:color="auto" w:frame="1"/>
        </w:rPr>
        <w:t>: (1)</w:t>
      </w:r>
      <w:r w:rsidR="0050083B">
        <w:rPr>
          <w:rStyle w:val="ssrfcpassagedeactivated"/>
          <w:rFonts w:cs="Arial"/>
          <w:color w:val="000000"/>
          <w:bdr w:val="none" w:sz="0" w:space="0" w:color="auto" w:frame="1"/>
        </w:rPr>
        <w:t xml:space="preserve"> the </w:t>
      </w:r>
      <w:r>
        <w:rPr>
          <w:rStyle w:val="ssrfcpassagedeactivated"/>
          <w:rFonts w:cs="Arial"/>
          <w:color w:val="000000"/>
          <w:bdr w:val="none" w:sz="0" w:space="0" w:color="auto" w:frame="1"/>
        </w:rPr>
        <w:t xml:space="preserve">origination of the note and </w:t>
      </w:r>
      <w:r w:rsidR="00E032EE">
        <w:rPr>
          <w:rStyle w:val="ssrfcpassagedeactivated"/>
          <w:rFonts w:cs="Arial"/>
          <w:color w:val="000000"/>
          <w:bdr w:val="none" w:sz="0" w:space="0" w:color="auto" w:frame="1"/>
        </w:rPr>
        <w:t xml:space="preserve">(2) </w:t>
      </w:r>
      <w:r>
        <w:rPr>
          <w:rStyle w:val="ssrfcpassagedeactivated"/>
          <w:rFonts w:cs="Arial"/>
          <w:color w:val="000000"/>
          <w:bdr w:val="none" w:sz="0" w:space="0" w:color="auto" w:frame="1"/>
        </w:rPr>
        <w:t xml:space="preserve">mortgage, as well as </w:t>
      </w:r>
      <w:r w:rsidR="00E032EE">
        <w:rPr>
          <w:rStyle w:val="ssrfcpassagedeactivated"/>
          <w:rFonts w:cs="Arial"/>
          <w:color w:val="000000"/>
          <w:bdr w:val="none" w:sz="0" w:space="0" w:color="auto" w:frame="1"/>
        </w:rPr>
        <w:t xml:space="preserve">(3) </w:t>
      </w:r>
      <w:r>
        <w:rPr>
          <w:rStyle w:val="ssrfcpassagedeactivated"/>
          <w:rFonts w:cs="Arial"/>
          <w:color w:val="000000"/>
          <w:bdr w:val="none" w:sz="0" w:space="0" w:color="auto" w:frame="1"/>
        </w:rPr>
        <w:t xml:space="preserve">the </w:t>
      </w:r>
      <w:r w:rsidR="0050083B">
        <w:rPr>
          <w:rStyle w:val="ssrfcpassagedeactivated"/>
          <w:rFonts w:cs="Arial"/>
          <w:color w:val="000000"/>
          <w:bdr w:val="none" w:sz="0" w:space="0" w:color="auto" w:frame="1"/>
        </w:rPr>
        <w:t>conspiracy between Yusuf and his family members to try to take the Diamond Keturah land</w:t>
      </w:r>
      <w:r w:rsidR="00E032EE">
        <w:rPr>
          <w:rStyle w:val="ssrfcpassagedeactivated"/>
          <w:rFonts w:cs="Arial"/>
          <w:color w:val="000000"/>
          <w:bdr w:val="none" w:sz="0" w:space="0" w:color="auto" w:frame="1"/>
        </w:rPr>
        <w:t>. He</w:t>
      </w:r>
      <w:r w:rsidR="0050083B">
        <w:rPr>
          <w:rStyle w:val="ssrfcpassagedeactivated"/>
          <w:rFonts w:cs="Arial"/>
          <w:color w:val="000000"/>
          <w:bdr w:val="none" w:sz="0" w:space="0" w:color="auto" w:frame="1"/>
        </w:rPr>
        <w:t xml:space="preserve"> filed the original complaint here </w:t>
      </w:r>
      <w:r w:rsidR="0080379A">
        <w:rPr>
          <w:rStyle w:val="ssrfcpassagedeactivated"/>
          <w:rFonts w:cs="Arial"/>
          <w:color w:val="000000"/>
          <w:bdr w:val="none" w:sz="0" w:space="0" w:color="auto" w:frame="1"/>
        </w:rPr>
        <w:t xml:space="preserve">(“650 action”) </w:t>
      </w:r>
      <w:r w:rsidR="0050083B">
        <w:rPr>
          <w:rStyle w:val="ssrfcpassagedeactivated"/>
          <w:rFonts w:cs="Arial"/>
          <w:color w:val="000000"/>
          <w:bdr w:val="none" w:sz="0" w:space="0" w:color="auto" w:frame="1"/>
        </w:rPr>
        <w:t xml:space="preserve">on October 31, 2016.  </w:t>
      </w:r>
    </w:p>
    <w:p w14:paraId="6C8356CF" w14:textId="7F8E8F9C" w:rsidR="00FF4809" w:rsidRDefault="0050083B"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On November 11, 2016, Yusuf’s St</w:t>
      </w:r>
      <w:r w:rsidR="00FF4809">
        <w:rPr>
          <w:rStyle w:val="ssrfcpassagedeactivated"/>
          <w:rFonts w:cs="Arial"/>
          <w:color w:val="000000"/>
          <w:bdr w:val="none" w:sz="0" w:space="0" w:color="auto" w:frame="1"/>
        </w:rPr>
        <w:t>.</w:t>
      </w:r>
      <w:r>
        <w:rPr>
          <w:rStyle w:val="ssrfcpassagedeactivated"/>
          <w:rFonts w:cs="Arial"/>
          <w:color w:val="000000"/>
          <w:bdr w:val="none" w:sz="0" w:space="0" w:color="auto" w:frame="1"/>
        </w:rPr>
        <w:t xml:space="preserve"> Thomas </w:t>
      </w:r>
      <w:r w:rsidR="00FF4809">
        <w:rPr>
          <w:rStyle w:val="ssrfcpassagedeactivated"/>
          <w:rFonts w:cs="Arial"/>
          <w:color w:val="000000"/>
          <w:bdr w:val="none" w:sz="0" w:space="0" w:color="auto" w:frame="1"/>
        </w:rPr>
        <w:t>(</w:t>
      </w:r>
      <w:r>
        <w:rPr>
          <w:rStyle w:val="ssrfcpassagedeactivated"/>
          <w:rFonts w:cs="Arial"/>
          <w:color w:val="000000"/>
          <w:bdr w:val="none" w:sz="0" w:space="0" w:color="auto" w:frame="1"/>
        </w:rPr>
        <w:t>344</w:t>
      </w:r>
      <w:r w:rsidR="00FF4809">
        <w:rPr>
          <w:rStyle w:val="ssrfcpassagedeactivated"/>
          <w:rFonts w:cs="Arial"/>
          <w:color w:val="000000"/>
          <w:bdr w:val="none" w:sz="0" w:space="0" w:color="auto" w:frame="1"/>
        </w:rPr>
        <w:t>)</w:t>
      </w:r>
      <w:r>
        <w:rPr>
          <w:rStyle w:val="ssrfcpassagedeactivated"/>
          <w:rFonts w:cs="Arial"/>
          <w:color w:val="000000"/>
          <w:bdr w:val="none" w:sz="0" w:space="0" w:color="auto" w:frame="1"/>
        </w:rPr>
        <w:t xml:space="preserve"> action was dismissed on </w:t>
      </w:r>
      <w:r w:rsidR="004A454A">
        <w:rPr>
          <w:rStyle w:val="ssrfcpassagedeactivated"/>
          <w:rFonts w:cs="Arial"/>
          <w:color w:val="000000"/>
          <w:bdr w:val="none" w:sz="0" w:space="0" w:color="auto" w:frame="1"/>
        </w:rPr>
        <w:t xml:space="preserve">a </w:t>
      </w:r>
      <w:r>
        <w:rPr>
          <w:rStyle w:val="ssrfcpassagedeactivated"/>
          <w:rFonts w:cs="Arial"/>
          <w:color w:val="000000"/>
          <w:bdr w:val="none" w:sz="0" w:space="0" w:color="auto" w:frame="1"/>
        </w:rPr>
        <w:t xml:space="preserve">joint application of the parties. </w:t>
      </w:r>
    </w:p>
    <w:p w14:paraId="304878A8" w14:textId="163C7B91" w:rsidR="0050083B" w:rsidRDefault="0050083B"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Just over a month later, the First </w:t>
      </w:r>
      <w:r w:rsidRPr="0080379A">
        <w:rPr>
          <w:rStyle w:val="ssrfcpassagedeactivated"/>
          <w:rFonts w:cs="Arial"/>
          <w:i/>
          <w:iCs/>
          <w:color w:val="000000"/>
          <w:bdr w:val="none" w:sz="0" w:space="0" w:color="auto" w:frame="1"/>
        </w:rPr>
        <w:t>Amended</w:t>
      </w:r>
      <w:r>
        <w:rPr>
          <w:rStyle w:val="ssrfcpassagedeactivated"/>
          <w:rFonts w:cs="Arial"/>
          <w:color w:val="000000"/>
          <w:bdr w:val="none" w:sz="0" w:space="0" w:color="auto" w:frame="1"/>
        </w:rPr>
        <w:t xml:space="preserve"> Complaint (“FAC”) </w:t>
      </w:r>
      <w:r w:rsidR="00FF4809">
        <w:rPr>
          <w:rStyle w:val="ssrfcpassagedeactivated"/>
          <w:rFonts w:cs="Arial"/>
          <w:color w:val="000000"/>
          <w:bdr w:val="none" w:sz="0" w:space="0" w:color="auto" w:frame="1"/>
        </w:rPr>
        <w:t xml:space="preserve">at issue here </w:t>
      </w:r>
      <w:r>
        <w:rPr>
          <w:rStyle w:val="ssrfcpassagedeactivated"/>
          <w:rFonts w:cs="Arial"/>
          <w:color w:val="000000"/>
          <w:bdr w:val="none" w:sz="0" w:space="0" w:color="auto" w:frame="1"/>
        </w:rPr>
        <w:t>was filed</w:t>
      </w:r>
      <w:r w:rsidR="00FF4809">
        <w:rPr>
          <w:rStyle w:val="ssrfcpassagedeactivated"/>
          <w:rFonts w:cs="Arial"/>
          <w:color w:val="000000"/>
          <w:bdr w:val="none" w:sz="0" w:space="0" w:color="auto" w:frame="1"/>
        </w:rPr>
        <w:t>,</w:t>
      </w:r>
      <w:r>
        <w:rPr>
          <w:rStyle w:val="ssrfcpassagedeactivated"/>
          <w:rFonts w:cs="Arial"/>
          <w:color w:val="000000"/>
          <w:bdr w:val="none" w:sz="0" w:space="0" w:color="auto" w:frame="1"/>
        </w:rPr>
        <w:t xml:space="preserve"> on December 23, 2016.</w:t>
      </w:r>
    </w:p>
    <w:p w14:paraId="674985B1" w14:textId="2022A810" w:rsidR="00536565" w:rsidRDefault="0050083B"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Thus, all factual allegations </w:t>
      </w:r>
      <w:r w:rsidR="00E032EE">
        <w:rPr>
          <w:rStyle w:val="ssrfcpassagedeactivated"/>
          <w:rFonts w:cs="Arial"/>
          <w:color w:val="000000"/>
          <w:bdr w:val="none" w:sz="0" w:space="0" w:color="auto" w:frame="1"/>
        </w:rPr>
        <w:t>in this action</w:t>
      </w:r>
      <w:r w:rsidR="00FF4809">
        <w:rPr>
          <w:rStyle w:val="ssrfcpassagedeactivated"/>
          <w:rFonts w:cs="Arial"/>
          <w:color w:val="000000"/>
          <w:bdr w:val="none" w:sz="0" w:space="0" w:color="auto" w:frame="1"/>
        </w:rPr>
        <w:t xml:space="preserve"> </w:t>
      </w:r>
      <w:r w:rsidR="0080379A">
        <w:rPr>
          <w:rStyle w:val="ssrfcpassagedeactivated"/>
          <w:rFonts w:cs="Arial"/>
          <w:color w:val="000000"/>
          <w:bdr w:val="none" w:sz="0" w:space="0" w:color="auto" w:frame="1"/>
        </w:rPr>
        <w:t xml:space="preserve">technically </w:t>
      </w:r>
      <w:r>
        <w:rPr>
          <w:rStyle w:val="ssrfcpassagedeactivated"/>
          <w:rFonts w:cs="Arial"/>
          <w:color w:val="000000"/>
          <w:bdr w:val="none" w:sz="0" w:space="0" w:color="auto" w:frame="1"/>
        </w:rPr>
        <w:t xml:space="preserve">ended </w:t>
      </w:r>
      <w:r w:rsidR="00FF4809">
        <w:rPr>
          <w:rStyle w:val="ssrfcpassagedeactivated"/>
          <w:rFonts w:cs="Arial"/>
          <w:color w:val="000000"/>
          <w:bdr w:val="none" w:sz="0" w:space="0" w:color="auto" w:frame="1"/>
        </w:rPr>
        <w:t>with the filing of the FAC</w:t>
      </w:r>
      <w:r w:rsidR="00E032EE">
        <w:rPr>
          <w:rStyle w:val="ssrfcpassagedeactivated"/>
          <w:rFonts w:cs="Arial"/>
          <w:color w:val="000000"/>
          <w:bdr w:val="none" w:sz="0" w:space="0" w:color="auto" w:frame="1"/>
        </w:rPr>
        <w:t>,</w:t>
      </w:r>
      <w:r w:rsidR="00FF4809">
        <w:rPr>
          <w:rStyle w:val="ssrfcpassagedeactivated"/>
          <w:rFonts w:cs="Arial"/>
          <w:color w:val="000000"/>
          <w:bdr w:val="none" w:sz="0" w:space="0" w:color="auto" w:frame="1"/>
        </w:rPr>
        <w:t xml:space="preserve"> </w:t>
      </w:r>
      <w:r>
        <w:rPr>
          <w:rStyle w:val="ssrfcpassagedeactivated"/>
          <w:rFonts w:cs="Arial"/>
          <w:color w:val="000000"/>
          <w:bdr w:val="none" w:sz="0" w:space="0" w:color="auto" w:frame="1"/>
        </w:rPr>
        <w:t xml:space="preserve">on December 23, 2016.  Thereafter, two things happened: (1) the alleged conspirators, along with Manal Yusuf did many </w:t>
      </w:r>
      <w:r w:rsidR="0080379A">
        <w:rPr>
          <w:rStyle w:val="ssrfcpassagedeactivated"/>
          <w:rFonts w:cs="Arial"/>
          <w:color w:val="000000"/>
          <w:bdr w:val="none" w:sz="0" w:space="0" w:color="auto" w:frame="1"/>
        </w:rPr>
        <w:t>p</w:t>
      </w:r>
      <w:r w:rsidR="00FF4809">
        <w:rPr>
          <w:rStyle w:val="ssrfcpassagedeactivated"/>
          <w:rFonts w:cs="Arial"/>
          <w:color w:val="000000"/>
          <w:bdr w:val="none" w:sz="0" w:space="0" w:color="auto" w:frame="1"/>
        </w:rPr>
        <w:t xml:space="preserve">ost-FAC </w:t>
      </w:r>
      <w:r>
        <w:rPr>
          <w:rStyle w:val="ssrfcpassagedeactivated"/>
          <w:rFonts w:cs="Arial"/>
          <w:color w:val="000000"/>
          <w:bdr w:val="none" w:sz="0" w:space="0" w:color="auto" w:frame="1"/>
        </w:rPr>
        <w:t xml:space="preserve">acts in furtherance of the CICO conspiracy, and (2) Hamed learned </w:t>
      </w:r>
      <w:r w:rsidR="00DC2D27">
        <w:rPr>
          <w:rStyle w:val="ssrfcpassagedeactivated"/>
          <w:rFonts w:cs="Arial"/>
          <w:color w:val="000000"/>
          <w:bdr w:val="none" w:sz="0" w:space="0" w:color="auto" w:frame="1"/>
        </w:rPr>
        <w:t xml:space="preserve">of </w:t>
      </w:r>
      <w:r>
        <w:rPr>
          <w:rStyle w:val="ssrfcpassagedeactivated"/>
          <w:rFonts w:cs="Arial"/>
          <w:color w:val="000000"/>
          <w:bdr w:val="none" w:sz="0" w:space="0" w:color="auto" w:frame="1"/>
        </w:rPr>
        <w:t xml:space="preserve">many </w:t>
      </w:r>
      <w:r w:rsidR="004A454A">
        <w:rPr>
          <w:rStyle w:val="ssrfcpassagedeactivated"/>
          <w:rFonts w:cs="Arial"/>
          <w:color w:val="000000"/>
          <w:bdr w:val="none" w:sz="0" w:space="0" w:color="auto" w:frame="1"/>
        </w:rPr>
        <w:t xml:space="preserve">new </w:t>
      </w:r>
      <w:r>
        <w:rPr>
          <w:rStyle w:val="ssrfcpassagedeactivated"/>
          <w:rFonts w:cs="Arial"/>
          <w:color w:val="000000"/>
          <w:bdr w:val="none" w:sz="0" w:space="0" w:color="auto" w:frame="1"/>
        </w:rPr>
        <w:t>facts about</w:t>
      </w:r>
      <w:r w:rsidR="004A454A">
        <w:rPr>
          <w:rStyle w:val="ssrfcpassagedeactivated"/>
          <w:rFonts w:cs="Arial"/>
          <w:color w:val="000000"/>
          <w:bdr w:val="none" w:sz="0" w:space="0" w:color="auto" w:frame="1"/>
        </w:rPr>
        <w:t xml:space="preserve"> their</w:t>
      </w:r>
      <w:r>
        <w:rPr>
          <w:rStyle w:val="ssrfcpassagedeactivated"/>
          <w:rFonts w:cs="Arial"/>
          <w:color w:val="000000"/>
          <w:bdr w:val="none" w:sz="0" w:space="0" w:color="auto" w:frame="1"/>
        </w:rPr>
        <w:t xml:space="preserve"> acts </w:t>
      </w:r>
      <w:r w:rsidR="00DC2D27">
        <w:rPr>
          <w:rStyle w:val="ssrfcpassagedeactivated"/>
          <w:rFonts w:cs="Arial"/>
          <w:color w:val="000000"/>
          <w:bdr w:val="none" w:sz="0" w:space="0" w:color="auto" w:frame="1"/>
        </w:rPr>
        <w:t xml:space="preserve">the occurred </w:t>
      </w:r>
      <w:r>
        <w:rPr>
          <w:rStyle w:val="ssrfcpassagedeactivated"/>
          <w:rFonts w:cs="Arial"/>
          <w:color w:val="000000"/>
          <w:bdr w:val="none" w:sz="0" w:space="0" w:color="auto" w:frame="1"/>
        </w:rPr>
        <w:t xml:space="preserve">prior to </w:t>
      </w:r>
      <w:r w:rsidR="00FF4809">
        <w:rPr>
          <w:rStyle w:val="ssrfcpassagedeactivated"/>
          <w:rFonts w:cs="Arial"/>
          <w:color w:val="000000"/>
          <w:bdr w:val="none" w:sz="0" w:space="0" w:color="auto" w:frame="1"/>
        </w:rPr>
        <w:t>the filing of the FAC.</w:t>
      </w:r>
      <w:r>
        <w:rPr>
          <w:rStyle w:val="ssrfcpassagedeactivated"/>
          <w:rFonts w:cs="Arial"/>
          <w:color w:val="000000"/>
          <w:bdr w:val="none" w:sz="0" w:space="0" w:color="auto" w:frame="1"/>
        </w:rPr>
        <w:t xml:space="preserve"> </w:t>
      </w:r>
    </w:p>
    <w:p w14:paraId="6C9631EC" w14:textId="77777777" w:rsidR="00536565" w:rsidRDefault="00536565">
      <w:pPr>
        <w:rPr>
          <w:rStyle w:val="ssrfcpassagedeactivated"/>
          <w:rFonts w:cs="Arial"/>
          <w:color w:val="000000"/>
          <w:bdr w:val="none" w:sz="0" w:space="0" w:color="auto" w:frame="1"/>
        </w:rPr>
      </w:pPr>
      <w:r>
        <w:rPr>
          <w:rStyle w:val="ssrfcpassagedeactivated"/>
          <w:rFonts w:cs="Arial"/>
          <w:color w:val="000000"/>
          <w:bdr w:val="none" w:sz="0" w:space="0" w:color="auto" w:frame="1"/>
        </w:rPr>
        <w:br w:type="page"/>
      </w:r>
    </w:p>
    <w:p w14:paraId="0A9ACE24" w14:textId="77777777" w:rsidR="0050083B" w:rsidRPr="00FF4809" w:rsidRDefault="0050083B" w:rsidP="00D67557">
      <w:pPr>
        <w:pStyle w:val="ListParagraph"/>
        <w:numPr>
          <w:ilvl w:val="0"/>
          <w:numId w:val="46"/>
        </w:numPr>
        <w:spacing w:after="0" w:line="480" w:lineRule="auto"/>
        <w:jc w:val="both"/>
        <w:outlineLvl w:val="0"/>
        <w:rPr>
          <w:rStyle w:val="ssrfcpassagedeactivated"/>
          <w:rFonts w:ascii="Arial" w:hAnsi="Arial" w:cs="Arial"/>
          <w:b/>
          <w:bCs/>
          <w:color w:val="000000"/>
          <w:sz w:val="24"/>
          <w:bdr w:val="none" w:sz="0" w:space="0" w:color="auto" w:frame="1"/>
        </w:rPr>
      </w:pPr>
      <w:r w:rsidRPr="00FF4809">
        <w:rPr>
          <w:rStyle w:val="ssrfcpassagedeactivated"/>
          <w:rFonts w:ascii="Arial" w:hAnsi="Arial" w:cs="Arial"/>
          <w:b/>
          <w:bCs/>
          <w:color w:val="000000"/>
          <w:sz w:val="24"/>
          <w:bdr w:val="none" w:sz="0" w:space="0" w:color="auto" w:frame="1"/>
        </w:rPr>
        <w:lastRenderedPageBreak/>
        <w:t>Alleged Acts in Furtherance of the Conspiracy after the FAC was Filed</w:t>
      </w:r>
    </w:p>
    <w:p w14:paraId="6FE2F1B3" w14:textId="1B448D8B" w:rsidR="0050083B" w:rsidRDefault="0050083B" w:rsidP="00D67557">
      <w:pPr>
        <w:pStyle w:val="ListParagraph"/>
        <w:numPr>
          <w:ilvl w:val="0"/>
          <w:numId w:val="47"/>
        </w:numPr>
        <w:spacing w:after="0" w:line="480" w:lineRule="auto"/>
        <w:jc w:val="both"/>
        <w:outlineLvl w:val="0"/>
        <w:rPr>
          <w:rStyle w:val="ssrfcpassagedeactivated"/>
          <w:rFonts w:ascii="Arial" w:hAnsi="Arial" w:cs="Arial"/>
          <w:color w:val="000000"/>
          <w:sz w:val="24"/>
          <w:bdr w:val="none" w:sz="0" w:space="0" w:color="auto" w:frame="1"/>
        </w:rPr>
      </w:pPr>
      <w:r>
        <w:rPr>
          <w:rStyle w:val="ssrfcpassagedeactivated"/>
          <w:rFonts w:ascii="Arial" w:hAnsi="Arial" w:cs="Arial"/>
          <w:color w:val="000000"/>
          <w:sz w:val="24"/>
          <w:bdr w:val="none" w:sz="0" w:space="0" w:color="auto" w:frame="1"/>
        </w:rPr>
        <w:t>Manal Yousef Filed a USVI Action in 2017</w:t>
      </w:r>
      <w:r w:rsidR="0080379A">
        <w:rPr>
          <w:rStyle w:val="ssrfcpassagedeactivated"/>
          <w:rFonts w:ascii="Arial" w:hAnsi="Arial" w:cs="Arial"/>
          <w:color w:val="000000"/>
          <w:sz w:val="24"/>
          <w:bdr w:val="none" w:sz="0" w:space="0" w:color="auto" w:frame="1"/>
        </w:rPr>
        <w:t xml:space="preserve"> and Continues to Press it</w:t>
      </w:r>
    </w:p>
    <w:p w14:paraId="705F49D3" w14:textId="3C3BA2B0" w:rsidR="0050083B" w:rsidRDefault="0050083B"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Having initially contested USVI jurisdiction, on September 31, 2017, Manal Yousef </w:t>
      </w:r>
      <w:r w:rsidR="0080379A">
        <w:rPr>
          <w:rStyle w:val="ssrfcpassagedeactivated"/>
          <w:rFonts w:cs="Arial"/>
          <w:color w:val="000000"/>
          <w:bdr w:val="none" w:sz="0" w:space="0" w:color="auto" w:frame="1"/>
        </w:rPr>
        <w:t xml:space="preserve">instead </w:t>
      </w:r>
      <w:r>
        <w:rPr>
          <w:rStyle w:val="ssrfcpassagedeactivated"/>
          <w:rFonts w:cs="Arial"/>
          <w:color w:val="000000"/>
          <w:bdr w:val="none" w:sz="0" w:space="0" w:color="auto" w:frame="1"/>
        </w:rPr>
        <w:t>filed a foreclosure action against Sixteen Plus on St. Croix.</w:t>
      </w:r>
      <w:r w:rsidR="00FF4809">
        <w:rPr>
          <w:rStyle w:val="ssrfcpassagedeactivated"/>
          <w:rFonts w:cs="Arial"/>
          <w:color w:val="000000"/>
          <w:bdr w:val="none" w:sz="0" w:space="0" w:color="auto" w:frame="1"/>
        </w:rPr>
        <w:t xml:space="preserve"> SX-2017-CV-00342 (“342 action”). </w:t>
      </w:r>
      <w:r>
        <w:rPr>
          <w:rStyle w:val="ssrfcpassagedeactivated"/>
          <w:rFonts w:cs="Arial"/>
          <w:color w:val="000000"/>
          <w:bdr w:val="none" w:sz="0" w:space="0" w:color="auto" w:frame="1"/>
        </w:rPr>
        <w:t>In it she made the following statements relevant to this action:</w:t>
      </w:r>
    </w:p>
    <w:p w14:paraId="12A00FC7" w14:textId="367A80B7" w:rsidR="0050083B" w:rsidRPr="00D3299C" w:rsidRDefault="0050083B" w:rsidP="00D67557">
      <w:pPr>
        <w:pStyle w:val="ListParagraph"/>
        <w:numPr>
          <w:ilvl w:val="0"/>
          <w:numId w:val="48"/>
        </w:numPr>
        <w:spacing w:after="0" w:line="480" w:lineRule="auto"/>
        <w:ind w:left="720" w:firstLine="0"/>
        <w:jc w:val="both"/>
        <w:outlineLvl w:val="0"/>
        <w:rPr>
          <w:rFonts w:ascii="Arial" w:hAnsi="Arial" w:cs="Arial"/>
          <w:color w:val="000000"/>
          <w:sz w:val="24"/>
          <w:bdr w:val="none" w:sz="0" w:space="0" w:color="auto" w:frame="1"/>
        </w:rPr>
      </w:pPr>
      <w:r w:rsidRPr="00D3299C">
        <w:rPr>
          <w:rStyle w:val="ssrfcpassagedeactivated"/>
          <w:rFonts w:ascii="Arial" w:hAnsi="Arial" w:cs="Arial"/>
          <w:color w:val="000000"/>
          <w:sz w:val="24"/>
          <w:bdr w:val="none" w:sz="0" w:space="0" w:color="auto" w:frame="1"/>
        </w:rPr>
        <w:t xml:space="preserve">At paragraph 6, she falsely stated that </w:t>
      </w:r>
      <w:r w:rsidRPr="00D3299C">
        <w:rPr>
          <w:rFonts w:ascii="Arial" w:hAnsi="Arial" w:cs="Arial"/>
          <w:sz w:val="24"/>
        </w:rPr>
        <w:t xml:space="preserve">$4,500,000.00 was given by her to Sixteen Plus. </w:t>
      </w:r>
    </w:p>
    <w:p w14:paraId="2189FCF8" w14:textId="70621982" w:rsidR="0050083B" w:rsidRPr="00D44F6D" w:rsidRDefault="0050083B" w:rsidP="00D67557">
      <w:pPr>
        <w:pStyle w:val="ListParagraph"/>
        <w:numPr>
          <w:ilvl w:val="0"/>
          <w:numId w:val="48"/>
        </w:numPr>
        <w:spacing w:after="0" w:line="480" w:lineRule="auto"/>
        <w:ind w:left="720" w:firstLine="0"/>
        <w:jc w:val="both"/>
        <w:outlineLvl w:val="0"/>
        <w:rPr>
          <w:rFonts w:ascii="Arial" w:hAnsi="Arial" w:cs="Arial"/>
          <w:color w:val="000000"/>
          <w:sz w:val="24"/>
          <w:bdr w:val="none" w:sz="0" w:space="0" w:color="auto" w:frame="1"/>
        </w:rPr>
      </w:pPr>
      <w:r w:rsidRPr="00D3299C">
        <w:rPr>
          <w:rFonts w:ascii="Arial" w:hAnsi="Arial" w:cs="Arial"/>
          <w:sz w:val="24"/>
        </w:rPr>
        <w:t xml:space="preserve">At paragraph 9, she falsely stated that “[t]he defendant Sixteen Plus made three (3) payments of interest only </w:t>
      </w:r>
      <w:r w:rsidR="004A454A">
        <w:rPr>
          <w:rFonts w:ascii="Arial" w:hAnsi="Arial" w:cs="Arial"/>
          <w:sz w:val="24"/>
        </w:rPr>
        <w:t xml:space="preserve">to her </w:t>
      </w:r>
      <w:r w:rsidRPr="00D3299C">
        <w:rPr>
          <w:rFonts w:ascii="Arial" w:hAnsi="Arial" w:cs="Arial"/>
          <w:sz w:val="24"/>
        </w:rPr>
        <w:t>in the amount</w:t>
      </w:r>
      <w:r w:rsidR="004A454A">
        <w:rPr>
          <w:rFonts w:ascii="Arial" w:hAnsi="Arial" w:cs="Arial"/>
          <w:sz w:val="24"/>
        </w:rPr>
        <w:t>s</w:t>
      </w:r>
      <w:r w:rsidRPr="00D3299C">
        <w:rPr>
          <w:rFonts w:ascii="Arial" w:hAnsi="Arial" w:cs="Arial"/>
          <w:sz w:val="24"/>
        </w:rPr>
        <w:t xml:space="preserve"> of $360,000.00 each in 1998, 1999, and 2000</w:t>
      </w:r>
      <w:r w:rsidR="004A454A">
        <w:rPr>
          <w:rFonts w:ascii="Arial" w:hAnsi="Arial" w:cs="Arial"/>
          <w:sz w:val="24"/>
        </w:rPr>
        <w:t>.</w:t>
      </w:r>
    </w:p>
    <w:p w14:paraId="1B347A6E" w14:textId="176FF309" w:rsidR="0050083B" w:rsidRDefault="00FF4809" w:rsidP="006A6F8F">
      <w:pPr>
        <w:spacing w:line="480" w:lineRule="auto"/>
        <w:jc w:val="both"/>
        <w:outlineLvl w:val="0"/>
        <w:rPr>
          <w:rFonts w:cs="Arial"/>
        </w:rPr>
      </w:pPr>
      <w:r>
        <w:rPr>
          <w:rStyle w:val="ssrfcpassagedeactivated"/>
          <w:rFonts w:cs="Arial"/>
          <w:color w:val="000000"/>
          <w:bdr w:val="none" w:sz="0" w:space="0" w:color="auto" w:frame="1"/>
        </w:rPr>
        <w:t xml:space="preserve">At </w:t>
      </w:r>
      <w:r w:rsidRPr="00D3299C">
        <w:rPr>
          <w:rStyle w:val="ssrfcpassagedeactivated"/>
          <w:rFonts w:cs="Arial"/>
          <w:color w:val="000000"/>
          <w:bdr w:val="none" w:sz="0" w:space="0" w:color="auto" w:frame="1"/>
        </w:rPr>
        <w:t xml:space="preserve">paragraph 1, Hamed </w:t>
      </w:r>
      <w:r>
        <w:rPr>
          <w:rStyle w:val="ssrfcpassagedeactivated"/>
          <w:rFonts w:cs="Arial"/>
          <w:color w:val="000000"/>
          <w:bdr w:val="none" w:sz="0" w:space="0" w:color="auto" w:frame="1"/>
        </w:rPr>
        <w:t xml:space="preserve">also </w:t>
      </w:r>
      <w:r w:rsidRPr="00D3299C">
        <w:rPr>
          <w:rStyle w:val="ssrfcpassagedeactivated"/>
          <w:rFonts w:cs="Arial"/>
          <w:color w:val="000000"/>
          <w:bdr w:val="none" w:sz="0" w:space="0" w:color="auto" w:frame="1"/>
        </w:rPr>
        <w:t xml:space="preserve">learned that </w:t>
      </w:r>
      <w:r>
        <w:rPr>
          <w:rStyle w:val="ssrfcpassagedeactivated"/>
          <w:rFonts w:cs="Arial"/>
          <w:color w:val="000000"/>
          <w:bdr w:val="none" w:sz="0" w:space="0" w:color="auto" w:frame="1"/>
        </w:rPr>
        <w:t>Manal</w:t>
      </w:r>
      <w:r w:rsidRPr="00D3299C">
        <w:rPr>
          <w:rStyle w:val="ssrfcpassagedeactivated"/>
          <w:rFonts w:cs="Arial"/>
          <w:color w:val="000000"/>
          <w:bdr w:val="none" w:sz="0" w:space="0" w:color="auto" w:frame="1"/>
        </w:rPr>
        <w:t xml:space="preserve"> was</w:t>
      </w:r>
      <w:r>
        <w:rPr>
          <w:rStyle w:val="ssrfcpassagedeactivated"/>
          <w:rFonts w:cs="Arial"/>
          <w:color w:val="000000"/>
          <w:bdr w:val="none" w:sz="0" w:space="0" w:color="auto" w:frame="1"/>
        </w:rPr>
        <w:t xml:space="preserve">, and had been </w:t>
      </w:r>
      <w:r w:rsidR="002418FC">
        <w:rPr>
          <w:rStyle w:val="ssrfcpassagedeactivated"/>
          <w:rFonts w:cs="Arial"/>
          <w:color w:val="000000"/>
          <w:bdr w:val="none" w:sz="0" w:space="0" w:color="auto" w:frame="1"/>
        </w:rPr>
        <w:t xml:space="preserve">at times relevant to this amendment, </w:t>
      </w:r>
      <w:r w:rsidRPr="00D3299C">
        <w:rPr>
          <w:rStyle w:val="ssrfcpassagedeactivated"/>
          <w:rFonts w:cs="Arial"/>
          <w:color w:val="000000"/>
          <w:bdr w:val="none" w:sz="0" w:space="0" w:color="auto" w:frame="1"/>
        </w:rPr>
        <w:t>a resident of Ramallah, West Bank, Palestine</w:t>
      </w:r>
      <w:r w:rsidR="006A6F8F">
        <w:rPr>
          <w:rStyle w:val="ssrfcpassagedeactivated"/>
          <w:rFonts w:cs="Arial"/>
          <w:color w:val="000000"/>
          <w:bdr w:val="none" w:sz="0" w:space="0" w:color="auto" w:frame="1"/>
        </w:rPr>
        <w:t xml:space="preserve">, </w:t>
      </w:r>
      <w:r w:rsidRPr="00D3299C">
        <w:rPr>
          <w:rStyle w:val="ssrfcpassagedeactivated"/>
          <w:rFonts w:cs="Arial"/>
          <w:color w:val="000000"/>
          <w:bdr w:val="none" w:sz="0" w:space="0" w:color="auto" w:frame="1"/>
        </w:rPr>
        <w:t>not St. Martin.</w:t>
      </w:r>
      <w:r w:rsidR="006A6F8F">
        <w:rPr>
          <w:rStyle w:val="ssrfcpassagedeactivated"/>
          <w:rFonts w:cs="Arial"/>
          <w:color w:val="000000"/>
          <w:bdr w:val="none" w:sz="0" w:space="0" w:color="auto" w:frame="1"/>
        </w:rPr>
        <w:t xml:space="preserve"> It is also clear that t</w:t>
      </w:r>
      <w:r w:rsidR="0050083B">
        <w:rPr>
          <w:rFonts w:cs="Arial"/>
        </w:rPr>
        <w:t xml:space="preserve">he bringing and </w:t>
      </w:r>
      <w:r w:rsidR="0050083B" w:rsidRPr="0080379A">
        <w:rPr>
          <w:rFonts w:cs="Arial"/>
          <w:i/>
          <w:iCs/>
          <w:u w:val="single"/>
        </w:rPr>
        <w:t>continu</w:t>
      </w:r>
      <w:r w:rsidR="004A454A">
        <w:rPr>
          <w:rFonts w:cs="Arial"/>
          <w:i/>
          <w:iCs/>
          <w:u w:val="single"/>
        </w:rPr>
        <w:t>ed</w:t>
      </w:r>
      <w:r w:rsidR="0050083B" w:rsidRPr="0080379A">
        <w:rPr>
          <w:rFonts w:cs="Arial"/>
          <w:i/>
          <w:iCs/>
          <w:u w:val="single"/>
        </w:rPr>
        <w:t xml:space="preserve"> </w:t>
      </w:r>
      <w:r w:rsidR="006A6F8F">
        <w:rPr>
          <w:rFonts w:cs="Arial"/>
          <w:i/>
          <w:iCs/>
          <w:u w:val="single"/>
        </w:rPr>
        <w:t>prosecution</w:t>
      </w:r>
      <w:r w:rsidR="006A6F8F" w:rsidRPr="006A6F8F">
        <w:rPr>
          <w:rFonts w:cs="Arial"/>
          <w:i/>
          <w:iCs/>
        </w:rPr>
        <w:t xml:space="preserve"> </w:t>
      </w:r>
      <w:r w:rsidR="0050083B">
        <w:rPr>
          <w:rFonts w:cs="Arial"/>
        </w:rPr>
        <w:t xml:space="preserve">of </w:t>
      </w:r>
      <w:r w:rsidR="006A6F8F">
        <w:rPr>
          <w:rFonts w:cs="Arial"/>
        </w:rPr>
        <w:t>Manal’s 342</w:t>
      </w:r>
      <w:r w:rsidR="0050083B">
        <w:rPr>
          <w:rFonts w:cs="Arial"/>
        </w:rPr>
        <w:t xml:space="preserve"> action </w:t>
      </w:r>
      <w:r w:rsidR="0080379A">
        <w:rPr>
          <w:rFonts w:cs="Arial"/>
        </w:rPr>
        <w:t>are</w:t>
      </w:r>
      <w:r w:rsidR="002418FC">
        <w:rPr>
          <w:rFonts w:cs="Arial"/>
        </w:rPr>
        <w:t xml:space="preserve"> substantial </w:t>
      </w:r>
      <w:r w:rsidR="0050083B">
        <w:rPr>
          <w:rFonts w:cs="Arial"/>
        </w:rPr>
        <w:t>part</w:t>
      </w:r>
      <w:r w:rsidR="0080379A">
        <w:rPr>
          <w:rFonts w:cs="Arial"/>
        </w:rPr>
        <w:t>s</w:t>
      </w:r>
      <w:r w:rsidR="0050083B">
        <w:rPr>
          <w:rFonts w:cs="Arial"/>
        </w:rPr>
        <w:t xml:space="preserve"> of the conspiracy</w:t>
      </w:r>
      <w:r w:rsidR="002418FC">
        <w:rPr>
          <w:rFonts w:cs="Arial"/>
        </w:rPr>
        <w:t xml:space="preserve"> </w:t>
      </w:r>
      <w:r w:rsidR="0050083B">
        <w:rPr>
          <w:rFonts w:cs="Arial"/>
        </w:rPr>
        <w:t>and</w:t>
      </w:r>
      <w:r w:rsidR="006A6F8F">
        <w:rPr>
          <w:rFonts w:cs="Arial"/>
        </w:rPr>
        <w:t>—</w:t>
      </w:r>
      <w:r w:rsidR="0050083B">
        <w:rPr>
          <w:rFonts w:cs="Arial"/>
        </w:rPr>
        <w:t xml:space="preserve">Hamed </w:t>
      </w:r>
      <w:r w:rsidR="0050083B" w:rsidRPr="00DC2D27">
        <w:rPr>
          <w:rFonts w:cs="Arial"/>
          <w:i/>
          <w:iCs/>
          <w:u w:val="single"/>
        </w:rPr>
        <w:t>allege</w:t>
      </w:r>
      <w:r w:rsidR="006A6F8F" w:rsidRPr="00DC2D27">
        <w:rPr>
          <w:rFonts w:cs="Arial"/>
          <w:i/>
          <w:iCs/>
          <w:u w:val="single"/>
        </w:rPr>
        <w:t>s</w:t>
      </w:r>
      <w:r w:rsidR="006A6F8F">
        <w:rPr>
          <w:rFonts w:cs="Arial"/>
        </w:rPr>
        <w:t xml:space="preserve"> </w:t>
      </w:r>
      <w:r w:rsidR="0050083B">
        <w:rPr>
          <w:rFonts w:cs="Arial"/>
        </w:rPr>
        <w:t>based on substantial post-FAC discovery testimony</w:t>
      </w:r>
      <w:r w:rsidR="00DC2D27">
        <w:rPr>
          <w:rFonts w:cs="Arial"/>
        </w:rPr>
        <w:t xml:space="preserve"> that she has no bank accounts or significant funds</w:t>
      </w:r>
      <w:r w:rsidR="005A651D">
        <w:rPr>
          <w:rFonts w:cs="Arial"/>
        </w:rPr>
        <w:t>—</w:t>
      </w:r>
      <w:r w:rsidR="0050083B">
        <w:rPr>
          <w:rFonts w:cs="Arial"/>
        </w:rPr>
        <w:t xml:space="preserve">she </w:t>
      </w:r>
      <w:r w:rsidR="006A6F8F">
        <w:rPr>
          <w:rFonts w:cs="Arial"/>
        </w:rPr>
        <w:t>is</w:t>
      </w:r>
      <w:r w:rsidR="002418FC">
        <w:rPr>
          <w:rFonts w:cs="Arial"/>
        </w:rPr>
        <w:t xml:space="preserve"> </w:t>
      </w:r>
      <w:r w:rsidR="0050083B">
        <w:rPr>
          <w:rFonts w:cs="Arial"/>
        </w:rPr>
        <w:t xml:space="preserve">being </w:t>
      </w:r>
      <w:r w:rsidR="002418FC">
        <w:rPr>
          <w:rFonts w:cs="Arial"/>
        </w:rPr>
        <w:t xml:space="preserve">financed and </w:t>
      </w:r>
      <w:r w:rsidR="0050083B">
        <w:rPr>
          <w:rFonts w:cs="Arial"/>
        </w:rPr>
        <w:t>directed by the other defendants herein.</w:t>
      </w:r>
    </w:p>
    <w:p w14:paraId="47498ACD" w14:textId="77777777" w:rsidR="0050083B" w:rsidRPr="00D3299C" w:rsidRDefault="0050083B" w:rsidP="00D67557">
      <w:pPr>
        <w:pStyle w:val="ListParagraph"/>
        <w:numPr>
          <w:ilvl w:val="0"/>
          <w:numId w:val="47"/>
        </w:numPr>
        <w:spacing w:after="0" w:line="480" w:lineRule="auto"/>
        <w:ind w:left="720" w:firstLine="0"/>
        <w:jc w:val="both"/>
        <w:outlineLvl w:val="0"/>
        <w:rPr>
          <w:rFonts w:ascii="Arial" w:hAnsi="Arial" w:cs="Arial"/>
          <w:color w:val="000000"/>
          <w:sz w:val="24"/>
          <w:bdr w:val="none" w:sz="0" w:space="0" w:color="auto" w:frame="1"/>
        </w:rPr>
      </w:pPr>
      <w:r>
        <w:rPr>
          <w:rFonts w:ascii="Arial" w:hAnsi="Arial" w:cs="Arial"/>
          <w:sz w:val="24"/>
        </w:rPr>
        <w:t>Manal Gave False Discovery Responses in Furtherance of the Conspiracy</w:t>
      </w:r>
    </w:p>
    <w:p w14:paraId="6B5EC731" w14:textId="4286BB11" w:rsidR="0050083B" w:rsidRDefault="0050083B" w:rsidP="00D67557">
      <w:pPr>
        <w:pStyle w:val="ListParagraph"/>
        <w:spacing w:after="0" w:line="480" w:lineRule="auto"/>
        <w:ind w:left="0" w:firstLine="432"/>
        <w:jc w:val="both"/>
        <w:outlineLvl w:val="0"/>
        <w:rPr>
          <w:rFonts w:ascii="Arial" w:hAnsi="Arial" w:cs="Arial"/>
          <w:sz w:val="24"/>
        </w:rPr>
      </w:pPr>
      <w:r>
        <w:rPr>
          <w:rFonts w:ascii="Arial" w:hAnsi="Arial" w:cs="Arial"/>
          <w:sz w:val="24"/>
        </w:rPr>
        <w:t xml:space="preserve">Manal’s </w:t>
      </w:r>
      <w:r w:rsidR="002418FC">
        <w:rPr>
          <w:rFonts w:ascii="Arial" w:hAnsi="Arial" w:cs="Arial"/>
          <w:sz w:val="24"/>
        </w:rPr>
        <w:t xml:space="preserve">many, allegedly </w:t>
      </w:r>
      <w:r>
        <w:rPr>
          <w:rFonts w:ascii="Arial" w:hAnsi="Arial" w:cs="Arial"/>
          <w:sz w:val="24"/>
        </w:rPr>
        <w:t xml:space="preserve">false </w:t>
      </w:r>
      <w:r w:rsidR="002418FC">
        <w:rPr>
          <w:rFonts w:ascii="Arial" w:hAnsi="Arial" w:cs="Arial"/>
          <w:sz w:val="24"/>
        </w:rPr>
        <w:t xml:space="preserve">discovery </w:t>
      </w:r>
      <w:r>
        <w:rPr>
          <w:rFonts w:ascii="Arial" w:hAnsi="Arial" w:cs="Arial"/>
          <w:sz w:val="24"/>
        </w:rPr>
        <w:t xml:space="preserve">responses fall into two groups: (1) untruths, and (2) </w:t>
      </w:r>
      <w:r w:rsidR="004A454A">
        <w:rPr>
          <w:rFonts w:ascii="Arial" w:hAnsi="Arial" w:cs="Arial"/>
          <w:sz w:val="24"/>
        </w:rPr>
        <w:t xml:space="preserve">calculated </w:t>
      </w:r>
      <w:r>
        <w:rPr>
          <w:rFonts w:ascii="Arial" w:hAnsi="Arial" w:cs="Arial"/>
          <w:sz w:val="24"/>
        </w:rPr>
        <w:t>evasions. Hamed’s motion to amend relates the following:</w:t>
      </w:r>
    </w:p>
    <w:p w14:paraId="2E0C9225" w14:textId="3ABF482D" w:rsidR="0050083B" w:rsidRPr="00707A47" w:rsidRDefault="0050083B" w:rsidP="00D67557">
      <w:pPr>
        <w:pStyle w:val="ListParagraph"/>
        <w:widowControl w:val="0"/>
        <w:numPr>
          <w:ilvl w:val="0"/>
          <w:numId w:val="42"/>
        </w:numPr>
        <w:tabs>
          <w:tab w:val="left" w:pos="1080"/>
        </w:tabs>
        <w:autoSpaceDE w:val="0"/>
        <w:autoSpaceDN w:val="0"/>
        <w:spacing w:after="0" w:line="271" w:lineRule="auto"/>
        <w:ind w:left="720" w:hanging="288"/>
        <w:contextualSpacing w:val="0"/>
        <w:jc w:val="both"/>
        <w:rPr>
          <w:rFonts w:ascii="Arial" w:hAnsi="Arial" w:cs="Arial"/>
          <w:sz w:val="24"/>
          <w:szCs w:val="24"/>
        </w:rPr>
      </w:pPr>
      <w:r w:rsidRPr="00707A47">
        <w:rPr>
          <w:rFonts w:ascii="Arial" w:hAnsi="Arial" w:cs="Arial"/>
          <w:sz w:val="24"/>
          <w:szCs w:val="24"/>
        </w:rPr>
        <w:t>In a new act in furtherance of the conspiracy, she continues to allege (and the defendants very much rely on the fact) that she has received that million dollars in interest, but</w:t>
      </w:r>
      <w:r w:rsidR="004A454A">
        <w:rPr>
          <w:rFonts w:ascii="Arial" w:hAnsi="Arial" w:cs="Arial"/>
          <w:sz w:val="24"/>
          <w:szCs w:val="24"/>
        </w:rPr>
        <w:t xml:space="preserve"> recently has begun to </w:t>
      </w:r>
      <w:r w:rsidRPr="00707A47">
        <w:rPr>
          <w:rFonts w:ascii="Arial" w:hAnsi="Arial" w:cs="Arial"/>
          <w:sz w:val="24"/>
          <w:szCs w:val="24"/>
        </w:rPr>
        <w:t xml:space="preserve">refuse to provide the basics that would allow </w:t>
      </w:r>
      <w:r w:rsidR="004A454A">
        <w:rPr>
          <w:rFonts w:ascii="Arial" w:hAnsi="Arial" w:cs="Arial"/>
          <w:sz w:val="24"/>
          <w:szCs w:val="24"/>
        </w:rPr>
        <w:t xml:space="preserve">that income and resultant </w:t>
      </w:r>
      <w:r w:rsidRPr="00707A47">
        <w:rPr>
          <w:rFonts w:ascii="Arial" w:hAnsi="Arial" w:cs="Arial"/>
          <w:sz w:val="24"/>
          <w:szCs w:val="24"/>
        </w:rPr>
        <w:t>assets to be investigated:</w:t>
      </w:r>
    </w:p>
    <w:p w14:paraId="334F6C49" w14:textId="77777777" w:rsidR="0050083B" w:rsidRPr="005F3725" w:rsidRDefault="0050083B" w:rsidP="00D67557">
      <w:pPr>
        <w:pStyle w:val="BodyText"/>
        <w:rPr>
          <w:sz w:val="12"/>
          <w:szCs w:val="12"/>
        </w:rPr>
      </w:pPr>
    </w:p>
    <w:p w14:paraId="08F9F401" w14:textId="3CC12BC6" w:rsidR="0050083B" w:rsidRDefault="0050083B" w:rsidP="00D6755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sidRPr="00707A47">
        <w:rPr>
          <w:rFonts w:ascii="Arial" w:hAnsi="Arial" w:cs="Arial"/>
          <w:sz w:val="24"/>
          <w:szCs w:val="24"/>
        </w:rPr>
        <w:t>She</w:t>
      </w:r>
      <w:r w:rsidRPr="00707A47">
        <w:rPr>
          <w:rFonts w:ascii="Arial" w:hAnsi="Arial" w:cs="Arial"/>
          <w:spacing w:val="-1"/>
          <w:sz w:val="24"/>
          <w:szCs w:val="24"/>
        </w:rPr>
        <w:t xml:space="preserve"> </w:t>
      </w:r>
      <w:r w:rsidRPr="00707A47">
        <w:rPr>
          <w:rFonts w:ascii="Arial" w:hAnsi="Arial" w:cs="Arial"/>
          <w:sz w:val="24"/>
          <w:szCs w:val="24"/>
        </w:rPr>
        <w:t>has</w:t>
      </w:r>
      <w:r w:rsidRPr="00707A47">
        <w:rPr>
          <w:rFonts w:ascii="Arial" w:hAnsi="Arial" w:cs="Arial"/>
          <w:spacing w:val="-1"/>
          <w:sz w:val="24"/>
          <w:szCs w:val="24"/>
        </w:rPr>
        <w:t xml:space="preserve"> </w:t>
      </w:r>
      <w:r w:rsidRPr="00707A47">
        <w:rPr>
          <w:rFonts w:ascii="Arial" w:hAnsi="Arial" w:cs="Arial"/>
          <w:sz w:val="24"/>
          <w:szCs w:val="24"/>
        </w:rPr>
        <w:t>refused</w:t>
      </w:r>
      <w:r w:rsidRPr="00707A47">
        <w:rPr>
          <w:rFonts w:ascii="Arial" w:hAnsi="Arial" w:cs="Arial"/>
          <w:spacing w:val="-1"/>
          <w:sz w:val="24"/>
          <w:szCs w:val="24"/>
        </w:rPr>
        <w:t xml:space="preserve"> </w:t>
      </w:r>
      <w:r w:rsidRPr="00707A47">
        <w:rPr>
          <w:rFonts w:ascii="Arial" w:hAnsi="Arial" w:cs="Arial"/>
          <w:sz w:val="24"/>
          <w:szCs w:val="24"/>
        </w:rPr>
        <w:t>her</w:t>
      </w:r>
      <w:r w:rsidRPr="00707A47">
        <w:rPr>
          <w:rFonts w:ascii="Arial" w:hAnsi="Arial" w:cs="Arial"/>
          <w:spacing w:val="-1"/>
          <w:sz w:val="24"/>
          <w:szCs w:val="24"/>
        </w:rPr>
        <w:t xml:space="preserve"> </w:t>
      </w:r>
      <w:r w:rsidRPr="00707A47">
        <w:rPr>
          <w:rFonts w:ascii="Arial" w:hAnsi="Arial" w:cs="Arial"/>
          <w:sz w:val="24"/>
          <w:szCs w:val="24"/>
        </w:rPr>
        <w:t>address,</w:t>
      </w:r>
      <w:r w:rsidRPr="00707A47">
        <w:rPr>
          <w:rFonts w:ascii="Arial" w:hAnsi="Arial" w:cs="Arial"/>
          <w:spacing w:val="-1"/>
          <w:sz w:val="24"/>
          <w:szCs w:val="24"/>
        </w:rPr>
        <w:t xml:space="preserve"> </w:t>
      </w:r>
      <w:r w:rsidRPr="00707A47">
        <w:rPr>
          <w:rFonts w:ascii="Arial" w:hAnsi="Arial" w:cs="Arial"/>
          <w:sz w:val="24"/>
          <w:szCs w:val="24"/>
        </w:rPr>
        <w:t>which</w:t>
      </w:r>
      <w:r w:rsidRPr="00707A47">
        <w:rPr>
          <w:rFonts w:ascii="Arial" w:hAnsi="Arial" w:cs="Arial"/>
          <w:spacing w:val="-1"/>
          <w:sz w:val="24"/>
          <w:szCs w:val="24"/>
        </w:rPr>
        <w:t xml:space="preserve"> </w:t>
      </w:r>
      <w:r w:rsidRPr="00707A47">
        <w:rPr>
          <w:rFonts w:ascii="Arial" w:hAnsi="Arial" w:cs="Arial"/>
          <w:sz w:val="24"/>
          <w:szCs w:val="24"/>
        </w:rPr>
        <w:t>prevents</w:t>
      </w:r>
      <w:r w:rsidRPr="00707A47">
        <w:rPr>
          <w:rFonts w:ascii="Arial" w:hAnsi="Arial" w:cs="Arial"/>
          <w:spacing w:val="-1"/>
          <w:sz w:val="24"/>
          <w:szCs w:val="24"/>
        </w:rPr>
        <w:t xml:space="preserve"> </w:t>
      </w:r>
      <w:r w:rsidRPr="00707A47">
        <w:rPr>
          <w:rFonts w:ascii="Arial" w:hAnsi="Arial" w:cs="Arial"/>
          <w:sz w:val="24"/>
          <w:szCs w:val="24"/>
        </w:rPr>
        <w:t>Hamed</w:t>
      </w:r>
      <w:r w:rsidRPr="00707A47">
        <w:rPr>
          <w:rFonts w:ascii="Arial" w:hAnsi="Arial" w:cs="Arial"/>
          <w:spacing w:val="-1"/>
          <w:sz w:val="24"/>
          <w:szCs w:val="24"/>
        </w:rPr>
        <w:t xml:space="preserve"> </w:t>
      </w:r>
      <w:r w:rsidRPr="00707A47">
        <w:rPr>
          <w:rFonts w:ascii="Arial" w:hAnsi="Arial" w:cs="Arial"/>
          <w:sz w:val="24"/>
          <w:szCs w:val="24"/>
        </w:rPr>
        <w:t xml:space="preserve">from investigating ownership status, value and credit basics. </w:t>
      </w:r>
      <w:r w:rsidR="00D04BFC" w:rsidRPr="00675DDC">
        <w:rPr>
          <w:rFonts w:ascii="Arial" w:hAnsi="Arial" w:cs="Arial"/>
          <w:i/>
          <w:sz w:val="24"/>
          <w:szCs w:val="24"/>
        </w:rPr>
        <w:t xml:space="preserve">See </w:t>
      </w:r>
      <w:r w:rsidR="00D04BFC" w:rsidRPr="00D04BFC">
        <w:rPr>
          <w:rFonts w:ascii="Arial" w:hAnsi="Arial" w:cs="Arial"/>
          <w:iCs/>
          <w:sz w:val="24"/>
          <w:szCs w:val="24"/>
        </w:rPr>
        <w:t>Exhibit 1</w:t>
      </w:r>
      <w:r w:rsidR="00D04BFC">
        <w:rPr>
          <w:rFonts w:ascii="Arial" w:hAnsi="Arial" w:cs="Arial"/>
          <w:iCs/>
          <w:sz w:val="24"/>
          <w:szCs w:val="24"/>
        </w:rPr>
        <w:t xml:space="preserve"> to Hamed’s Motion to Amend</w:t>
      </w:r>
      <w:r w:rsidRPr="00707A47">
        <w:rPr>
          <w:rFonts w:ascii="Arial" w:hAnsi="Arial" w:cs="Arial"/>
          <w:sz w:val="24"/>
          <w:szCs w:val="24"/>
        </w:rPr>
        <w:t xml:space="preserve"> (</w:t>
      </w:r>
      <w:r w:rsidR="00D04BFC">
        <w:rPr>
          <w:rFonts w:ascii="Arial" w:hAnsi="Arial" w:cs="Arial"/>
          <w:sz w:val="24"/>
          <w:szCs w:val="24"/>
        </w:rPr>
        <w:t xml:space="preserve">Atty. Hymes: </w:t>
      </w:r>
      <w:r w:rsidRPr="00707A47">
        <w:rPr>
          <w:rFonts w:ascii="Arial" w:hAnsi="Arial" w:cs="Arial"/>
          <w:sz w:val="24"/>
          <w:szCs w:val="24"/>
        </w:rPr>
        <w:t>“You indicated to me that you required a description</w:t>
      </w:r>
      <w:r w:rsidRPr="00707A47">
        <w:rPr>
          <w:rFonts w:ascii="Arial" w:hAnsi="Arial" w:cs="Arial"/>
          <w:spacing w:val="-2"/>
          <w:sz w:val="24"/>
          <w:szCs w:val="24"/>
        </w:rPr>
        <w:t xml:space="preserve"> </w:t>
      </w:r>
      <w:r w:rsidRPr="00707A47">
        <w:rPr>
          <w:rFonts w:ascii="Arial" w:hAnsi="Arial" w:cs="Arial"/>
          <w:sz w:val="24"/>
          <w:szCs w:val="24"/>
        </w:rPr>
        <w:t>of</w:t>
      </w:r>
      <w:r w:rsidRPr="00707A47">
        <w:rPr>
          <w:rFonts w:ascii="Arial" w:hAnsi="Arial" w:cs="Arial"/>
          <w:spacing w:val="-2"/>
          <w:sz w:val="24"/>
          <w:szCs w:val="24"/>
        </w:rPr>
        <w:t xml:space="preserve"> </w:t>
      </w:r>
      <w:r w:rsidRPr="00707A47">
        <w:rPr>
          <w:rFonts w:ascii="Arial" w:hAnsi="Arial" w:cs="Arial"/>
          <w:sz w:val="24"/>
          <w:szCs w:val="24"/>
        </w:rPr>
        <w:t>the</w:t>
      </w:r>
      <w:r w:rsidRPr="00707A47">
        <w:rPr>
          <w:rFonts w:ascii="Arial" w:hAnsi="Arial" w:cs="Arial"/>
          <w:spacing w:val="-2"/>
          <w:sz w:val="24"/>
          <w:szCs w:val="24"/>
        </w:rPr>
        <w:t xml:space="preserve"> </w:t>
      </w:r>
      <w:r w:rsidRPr="00707A47">
        <w:rPr>
          <w:rFonts w:ascii="Arial" w:hAnsi="Arial" w:cs="Arial"/>
          <w:sz w:val="24"/>
          <w:szCs w:val="24"/>
        </w:rPr>
        <w:t>present</w:t>
      </w:r>
      <w:r w:rsidRPr="00707A47">
        <w:rPr>
          <w:rFonts w:ascii="Arial" w:hAnsi="Arial" w:cs="Arial"/>
          <w:spacing w:val="-2"/>
          <w:sz w:val="24"/>
          <w:szCs w:val="24"/>
        </w:rPr>
        <w:t xml:space="preserve"> </w:t>
      </w:r>
      <w:r w:rsidRPr="00707A47">
        <w:rPr>
          <w:rFonts w:ascii="Arial" w:hAnsi="Arial" w:cs="Arial"/>
          <w:sz w:val="24"/>
          <w:szCs w:val="24"/>
        </w:rPr>
        <w:t>address</w:t>
      </w:r>
      <w:r w:rsidRPr="00707A47">
        <w:rPr>
          <w:rFonts w:ascii="Arial" w:hAnsi="Arial" w:cs="Arial"/>
          <w:spacing w:val="-2"/>
          <w:sz w:val="24"/>
          <w:szCs w:val="24"/>
        </w:rPr>
        <w:t xml:space="preserve"> </w:t>
      </w:r>
      <w:r w:rsidRPr="00707A47">
        <w:rPr>
          <w:rFonts w:ascii="Arial" w:hAnsi="Arial" w:cs="Arial"/>
          <w:sz w:val="24"/>
          <w:szCs w:val="24"/>
        </w:rPr>
        <w:t>for</w:t>
      </w:r>
      <w:r w:rsidRPr="00707A47">
        <w:rPr>
          <w:rFonts w:ascii="Arial" w:hAnsi="Arial" w:cs="Arial"/>
          <w:spacing w:val="-2"/>
          <w:sz w:val="24"/>
          <w:szCs w:val="24"/>
        </w:rPr>
        <w:t xml:space="preserve"> </w:t>
      </w:r>
      <w:r w:rsidRPr="00707A47">
        <w:rPr>
          <w:rFonts w:ascii="Arial" w:hAnsi="Arial" w:cs="Arial"/>
          <w:sz w:val="24"/>
          <w:szCs w:val="24"/>
        </w:rPr>
        <w:t>my</w:t>
      </w:r>
      <w:r w:rsidRPr="00707A47">
        <w:rPr>
          <w:rFonts w:ascii="Arial" w:hAnsi="Arial" w:cs="Arial"/>
          <w:spacing w:val="-2"/>
          <w:sz w:val="24"/>
          <w:szCs w:val="24"/>
        </w:rPr>
        <w:t xml:space="preserve"> </w:t>
      </w:r>
      <w:r w:rsidRPr="00707A47">
        <w:rPr>
          <w:rFonts w:ascii="Arial" w:hAnsi="Arial" w:cs="Arial"/>
          <w:sz w:val="24"/>
          <w:szCs w:val="24"/>
        </w:rPr>
        <w:t>client</w:t>
      </w:r>
      <w:r w:rsidRPr="00707A47">
        <w:rPr>
          <w:rFonts w:ascii="Arial" w:hAnsi="Arial" w:cs="Arial"/>
          <w:spacing w:val="-2"/>
          <w:sz w:val="24"/>
          <w:szCs w:val="24"/>
        </w:rPr>
        <w:t xml:space="preserve"> </w:t>
      </w:r>
      <w:r w:rsidRPr="00707A47">
        <w:rPr>
          <w:rFonts w:ascii="Arial" w:hAnsi="Arial" w:cs="Arial"/>
          <w:sz w:val="24"/>
          <w:szCs w:val="24"/>
        </w:rPr>
        <w:t>so</w:t>
      </w:r>
      <w:r w:rsidRPr="00707A47">
        <w:rPr>
          <w:rFonts w:ascii="Arial" w:hAnsi="Arial" w:cs="Arial"/>
          <w:spacing w:val="-2"/>
          <w:sz w:val="24"/>
          <w:szCs w:val="24"/>
        </w:rPr>
        <w:t xml:space="preserve"> </w:t>
      </w:r>
      <w:r w:rsidRPr="00707A47">
        <w:rPr>
          <w:rFonts w:ascii="Arial" w:hAnsi="Arial" w:cs="Arial"/>
          <w:sz w:val="24"/>
          <w:szCs w:val="24"/>
        </w:rPr>
        <w:t>that</w:t>
      </w:r>
      <w:r w:rsidRPr="00707A47">
        <w:rPr>
          <w:rFonts w:ascii="Arial" w:hAnsi="Arial" w:cs="Arial"/>
          <w:spacing w:val="-2"/>
          <w:sz w:val="24"/>
          <w:szCs w:val="24"/>
        </w:rPr>
        <w:t xml:space="preserve"> </w:t>
      </w:r>
      <w:r w:rsidRPr="00707A47">
        <w:rPr>
          <w:rFonts w:ascii="Arial" w:hAnsi="Arial" w:cs="Arial"/>
          <w:sz w:val="24"/>
          <w:szCs w:val="24"/>
        </w:rPr>
        <w:t xml:space="preserve">you may serve her with process. I will </w:t>
      </w:r>
      <w:r w:rsidRPr="00707A47">
        <w:rPr>
          <w:rFonts w:ascii="Arial" w:hAnsi="Arial" w:cs="Arial"/>
          <w:sz w:val="24"/>
          <w:szCs w:val="24"/>
        </w:rPr>
        <w:lastRenderedPageBreak/>
        <w:t>not provide you with that address. If you need to serve her with process, it may be done through me.</w:t>
      </w:r>
      <w:r>
        <w:rPr>
          <w:rFonts w:ascii="Arial" w:hAnsi="Arial" w:cs="Arial"/>
          <w:sz w:val="24"/>
          <w:szCs w:val="24"/>
        </w:rPr>
        <w:t>”)</w:t>
      </w:r>
      <w:r w:rsidRPr="00707A47">
        <w:rPr>
          <w:rStyle w:val="FootnoteReference"/>
          <w:rFonts w:ascii="Arial" w:hAnsi="Arial" w:cs="Arial"/>
          <w:spacing w:val="-2"/>
          <w:sz w:val="24"/>
          <w:szCs w:val="24"/>
        </w:rPr>
        <w:footnoteReference w:id="1"/>
      </w:r>
      <w:r w:rsidRPr="00707A47">
        <w:rPr>
          <w:rFonts w:ascii="Arial" w:hAnsi="Arial" w:cs="Arial"/>
          <w:sz w:val="24"/>
          <w:szCs w:val="24"/>
        </w:rPr>
        <w:t xml:space="preserve"> </w:t>
      </w:r>
      <w:bookmarkStart w:id="1" w:name="_bookmark2"/>
      <w:bookmarkEnd w:id="1"/>
    </w:p>
    <w:p w14:paraId="781288C7" w14:textId="77777777" w:rsidR="0050083B" w:rsidRPr="005F3725" w:rsidRDefault="0050083B" w:rsidP="00D67557">
      <w:pPr>
        <w:pStyle w:val="ListParagraph"/>
        <w:widowControl w:val="0"/>
        <w:tabs>
          <w:tab w:val="left" w:pos="2284"/>
        </w:tabs>
        <w:autoSpaceDE w:val="0"/>
        <w:autoSpaceDN w:val="0"/>
        <w:spacing w:after="0" w:line="247" w:lineRule="auto"/>
        <w:ind w:left="1440"/>
        <w:contextualSpacing w:val="0"/>
        <w:jc w:val="both"/>
        <w:rPr>
          <w:rFonts w:ascii="Arial" w:hAnsi="Arial" w:cs="Arial"/>
          <w:sz w:val="12"/>
          <w:szCs w:val="12"/>
        </w:rPr>
      </w:pPr>
    </w:p>
    <w:p w14:paraId="7A161FE4" w14:textId="734D6C2A" w:rsidR="0050083B" w:rsidRPr="002418FC" w:rsidRDefault="0050083B" w:rsidP="00D6755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sidRPr="00707A47">
        <w:rPr>
          <w:rFonts w:ascii="Arial" w:hAnsi="Arial" w:cs="Arial"/>
          <w:sz w:val="24"/>
          <w:szCs w:val="24"/>
        </w:rPr>
        <w:t xml:space="preserve">Although the “gifts” she presently alleges she received from her father are </w:t>
      </w:r>
      <w:r w:rsidR="004A454A">
        <w:rPr>
          <w:rFonts w:ascii="Arial" w:hAnsi="Arial" w:cs="Arial"/>
          <w:sz w:val="24"/>
          <w:szCs w:val="24"/>
        </w:rPr>
        <w:t>the</w:t>
      </w:r>
      <w:r w:rsidRPr="00707A47">
        <w:rPr>
          <w:rFonts w:ascii="Arial" w:hAnsi="Arial" w:cs="Arial"/>
          <w:sz w:val="24"/>
          <w:szCs w:val="24"/>
        </w:rPr>
        <w:t xml:space="preserve"> central factual issue here (also relied on heavily by the other conspirators) she has refused to provide any banking information directly related to the alleged interest she received. </w:t>
      </w:r>
      <w:r w:rsidR="00675DDC" w:rsidRPr="00675DDC">
        <w:rPr>
          <w:rFonts w:ascii="Arial" w:hAnsi="Arial" w:cs="Arial"/>
          <w:i/>
          <w:sz w:val="24"/>
          <w:szCs w:val="24"/>
        </w:rPr>
        <w:t xml:space="preserve">See </w:t>
      </w:r>
      <w:r w:rsidR="00675DDC" w:rsidRPr="00675DDC">
        <w:rPr>
          <w:rFonts w:ascii="Arial" w:hAnsi="Arial" w:cs="Arial"/>
          <w:iCs/>
          <w:sz w:val="24"/>
          <w:szCs w:val="24"/>
        </w:rPr>
        <w:t>Exhibit 1 to Hamed’s Motion to Amend,</w:t>
      </w:r>
      <w:r w:rsidR="00675DDC" w:rsidRPr="00675DDC">
        <w:rPr>
          <w:rFonts w:ascii="Arial" w:hAnsi="Arial" w:cs="Arial"/>
          <w:i/>
          <w:sz w:val="24"/>
          <w:szCs w:val="24"/>
        </w:rPr>
        <w:t xml:space="preserve"> </w:t>
      </w:r>
      <w:r w:rsidR="00675DDC" w:rsidRPr="00675DDC">
        <w:rPr>
          <w:rFonts w:ascii="Arial" w:hAnsi="Arial" w:cs="Arial"/>
          <w:sz w:val="24"/>
          <w:szCs w:val="24"/>
        </w:rPr>
        <w:t>Letter to Atty Hartmann, dated November 7, 2022</w:t>
      </w:r>
      <w:r w:rsidR="004A454A">
        <w:rPr>
          <w:rFonts w:ascii="Arial" w:hAnsi="Arial" w:cs="Arial"/>
          <w:sz w:val="24"/>
          <w:szCs w:val="24"/>
        </w:rPr>
        <w:t xml:space="preserve"> </w:t>
      </w:r>
      <w:r w:rsidRPr="00707A47">
        <w:rPr>
          <w:rFonts w:ascii="Arial" w:hAnsi="Arial" w:cs="Arial"/>
          <w:sz w:val="24"/>
          <w:szCs w:val="24"/>
        </w:rPr>
        <w:t xml:space="preserve">(“Access to the financial records of Island Appliances and my clients will not be granted. </w:t>
      </w:r>
      <w:r w:rsidRPr="00707A47">
        <w:rPr>
          <w:rFonts w:ascii="Arial" w:hAnsi="Arial" w:cs="Arial"/>
          <w:b/>
          <w:sz w:val="24"/>
          <w:szCs w:val="24"/>
        </w:rPr>
        <w:t>Your clients have denied making any payments of interest. Therefore, they have no reason to</w:t>
      </w:r>
      <w:r w:rsidRPr="00707A47">
        <w:rPr>
          <w:rFonts w:ascii="Arial" w:hAnsi="Arial" w:cs="Arial"/>
          <w:b/>
          <w:spacing w:val="20"/>
          <w:sz w:val="24"/>
          <w:szCs w:val="24"/>
        </w:rPr>
        <w:t xml:space="preserve"> </w:t>
      </w:r>
      <w:r w:rsidRPr="00707A47">
        <w:rPr>
          <w:rFonts w:ascii="Arial" w:hAnsi="Arial" w:cs="Arial"/>
          <w:b/>
          <w:sz w:val="24"/>
          <w:szCs w:val="24"/>
        </w:rPr>
        <w:t>look</w:t>
      </w:r>
      <w:r w:rsidRPr="00707A47">
        <w:rPr>
          <w:rFonts w:ascii="Arial" w:hAnsi="Arial" w:cs="Arial"/>
          <w:b/>
          <w:spacing w:val="20"/>
          <w:sz w:val="24"/>
          <w:szCs w:val="24"/>
        </w:rPr>
        <w:t xml:space="preserve"> </w:t>
      </w:r>
      <w:r w:rsidRPr="00707A47">
        <w:rPr>
          <w:rFonts w:ascii="Arial" w:hAnsi="Arial" w:cs="Arial"/>
          <w:b/>
          <w:sz w:val="24"/>
          <w:szCs w:val="24"/>
        </w:rPr>
        <w:t>in</w:t>
      </w:r>
      <w:r w:rsidRPr="00707A47">
        <w:rPr>
          <w:rFonts w:ascii="Arial" w:hAnsi="Arial" w:cs="Arial"/>
          <w:b/>
          <w:spacing w:val="20"/>
          <w:sz w:val="24"/>
          <w:szCs w:val="24"/>
        </w:rPr>
        <w:t xml:space="preserve"> </w:t>
      </w:r>
      <w:r w:rsidRPr="00707A47">
        <w:rPr>
          <w:rFonts w:ascii="Arial" w:hAnsi="Arial" w:cs="Arial"/>
          <w:b/>
          <w:sz w:val="24"/>
          <w:szCs w:val="24"/>
        </w:rPr>
        <w:t>bank</w:t>
      </w:r>
      <w:r w:rsidRPr="00707A47">
        <w:rPr>
          <w:rFonts w:ascii="Arial" w:hAnsi="Arial" w:cs="Arial"/>
          <w:b/>
          <w:spacing w:val="20"/>
          <w:sz w:val="24"/>
          <w:szCs w:val="24"/>
        </w:rPr>
        <w:t xml:space="preserve"> </w:t>
      </w:r>
      <w:r w:rsidRPr="00707A47">
        <w:rPr>
          <w:rFonts w:ascii="Arial" w:hAnsi="Arial" w:cs="Arial"/>
          <w:b/>
          <w:sz w:val="24"/>
          <w:szCs w:val="24"/>
        </w:rPr>
        <w:t>accounts</w:t>
      </w:r>
      <w:r w:rsidRPr="00707A47">
        <w:rPr>
          <w:rFonts w:ascii="Arial" w:hAnsi="Arial" w:cs="Arial"/>
          <w:b/>
          <w:spacing w:val="20"/>
          <w:sz w:val="24"/>
          <w:szCs w:val="24"/>
        </w:rPr>
        <w:t xml:space="preserve"> </w:t>
      </w:r>
      <w:r w:rsidRPr="00707A47">
        <w:rPr>
          <w:rFonts w:ascii="Arial" w:hAnsi="Arial" w:cs="Arial"/>
          <w:b/>
          <w:sz w:val="24"/>
          <w:szCs w:val="24"/>
        </w:rPr>
        <w:t>for</w:t>
      </w:r>
      <w:r w:rsidRPr="00707A47">
        <w:rPr>
          <w:rFonts w:ascii="Arial" w:hAnsi="Arial" w:cs="Arial"/>
          <w:b/>
          <w:spacing w:val="20"/>
          <w:sz w:val="24"/>
          <w:szCs w:val="24"/>
        </w:rPr>
        <w:t xml:space="preserve"> </w:t>
      </w:r>
      <w:r w:rsidRPr="00707A47">
        <w:rPr>
          <w:rFonts w:ascii="Arial" w:hAnsi="Arial" w:cs="Arial"/>
          <w:b/>
          <w:sz w:val="24"/>
          <w:szCs w:val="24"/>
        </w:rPr>
        <w:t>those</w:t>
      </w:r>
      <w:r w:rsidRPr="00707A47">
        <w:rPr>
          <w:rFonts w:ascii="Arial" w:hAnsi="Arial" w:cs="Arial"/>
          <w:b/>
          <w:spacing w:val="20"/>
          <w:sz w:val="24"/>
          <w:szCs w:val="24"/>
        </w:rPr>
        <w:t xml:space="preserve"> </w:t>
      </w:r>
      <w:r w:rsidRPr="00707A47">
        <w:rPr>
          <w:rFonts w:ascii="Arial" w:hAnsi="Arial" w:cs="Arial"/>
          <w:b/>
          <w:sz w:val="24"/>
          <w:szCs w:val="24"/>
        </w:rPr>
        <w:t>funds</w:t>
      </w:r>
      <w:r w:rsidRPr="00707A47">
        <w:rPr>
          <w:rFonts w:ascii="Arial" w:hAnsi="Arial" w:cs="Arial"/>
          <w:sz w:val="24"/>
          <w:szCs w:val="24"/>
        </w:rPr>
        <w:t>.”)</w:t>
      </w:r>
      <w:r w:rsidRPr="00707A47">
        <w:rPr>
          <w:rFonts w:ascii="Arial" w:hAnsi="Arial" w:cs="Arial"/>
          <w:spacing w:val="30"/>
          <w:sz w:val="24"/>
          <w:szCs w:val="24"/>
        </w:rPr>
        <w:t xml:space="preserve"> </w:t>
      </w:r>
      <w:r w:rsidRPr="00707A47">
        <w:rPr>
          <w:rFonts w:ascii="Arial" w:hAnsi="Arial" w:cs="Arial"/>
          <w:spacing w:val="-2"/>
          <w:sz w:val="24"/>
          <w:szCs w:val="24"/>
        </w:rPr>
        <w:t>(Emphasis added.)</w:t>
      </w:r>
      <w:r w:rsidRPr="00707A47">
        <w:rPr>
          <w:rStyle w:val="FootnoteReference"/>
          <w:rFonts w:ascii="Arial" w:hAnsi="Arial" w:cs="Arial"/>
          <w:spacing w:val="-2"/>
          <w:sz w:val="24"/>
          <w:szCs w:val="24"/>
        </w:rPr>
        <w:footnoteReference w:id="2"/>
      </w:r>
      <w:bookmarkStart w:id="2" w:name="_bookmark3"/>
      <w:bookmarkEnd w:id="2"/>
    </w:p>
    <w:p w14:paraId="2C306340" w14:textId="77777777" w:rsidR="002418FC" w:rsidRPr="002418FC" w:rsidRDefault="002418FC" w:rsidP="00D67557">
      <w:pPr>
        <w:widowControl w:val="0"/>
        <w:tabs>
          <w:tab w:val="left" w:pos="2284"/>
        </w:tabs>
        <w:autoSpaceDE w:val="0"/>
        <w:autoSpaceDN w:val="0"/>
        <w:spacing w:line="247" w:lineRule="auto"/>
        <w:jc w:val="both"/>
        <w:rPr>
          <w:rFonts w:cs="Arial"/>
          <w:sz w:val="12"/>
          <w:szCs w:val="12"/>
        </w:rPr>
      </w:pPr>
    </w:p>
    <w:p w14:paraId="3DD279B8" w14:textId="6DC9F78B" w:rsidR="0050083B" w:rsidRPr="00707A47" w:rsidRDefault="0050083B" w:rsidP="00D6755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sidRPr="00707A47">
        <w:rPr>
          <w:rFonts w:ascii="Arial" w:hAnsi="Arial" w:cs="Arial"/>
          <w:sz w:val="24"/>
          <w:szCs w:val="24"/>
        </w:rPr>
        <w:t>She</w:t>
      </w:r>
      <w:r w:rsidRPr="00707A47">
        <w:rPr>
          <w:rFonts w:ascii="Arial" w:hAnsi="Arial" w:cs="Arial"/>
          <w:spacing w:val="-4"/>
          <w:sz w:val="24"/>
          <w:szCs w:val="24"/>
        </w:rPr>
        <w:t xml:space="preserve"> </w:t>
      </w:r>
      <w:r w:rsidRPr="00707A47">
        <w:rPr>
          <w:rFonts w:ascii="Arial" w:hAnsi="Arial" w:cs="Arial"/>
          <w:sz w:val="24"/>
          <w:szCs w:val="24"/>
        </w:rPr>
        <w:t>has,</w:t>
      </w:r>
      <w:r w:rsidRPr="00707A47">
        <w:rPr>
          <w:rFonts w:ascii="Arial" w:hAnsi="Arial" w:cs="Arial"/>
          <w:spacing w:val="-4"/>
          <w:sz w:val="24"/>
          <w:szCs w:val="24"/>
        </w:rPr>
        <w:t xml:space="preserve"> </w:t>
      </w:r>
      <w:r w:rsidRPr="00707A47">
        <w:rPr>
          <w:rFonts w:ascii="Arial" w:hAnsi="Arial" w:cs="Arial"/>
          <w:sz w:val="24"/>
          <w:szCs w:val="24"/>
        </w:rPr>
        <w:t>recently,</w:t>
      </w:r>
      <w:r w:rsidRPr="00707A47">
        <w:rPr>
          <w:rFonts w:ascii="Arial" w:hAnsi="Arial" w:cs="Arial"/>
          <w:spacing w:val="-4"/>
          <w:sz w:val="24"/>
          <w:szCs w:val="24"/>
        </w:rPr>
        <w:t xml:space="preserve"> </w:t>
      </w:r>
      <w:r w:rsidR="004A454A">
        <w:rPr>
          <w:rFonts w:ascii="Arial" w:hAnsi="Arial" w:cs="Arial"/>
          <w:sz w:val="24"/>
          <w:szCs w:val="24"/>
        </w:rPr>
        <w:t>newly</w:t>
      </w:r>
      <w:r w:rsidRPr="00707A47">
        <w:rPr>
          <w:rFonts w:ascii="Arial" w:hAnsi="Arial" w:cs="Arial"/>
          <w:spacing w:val="-4"/>
          <w:sz w:val="24"/>
          <w:szCs w:val="24"/>
        </w:rPr>
        <w:t xml:space="preserve"> </w:t>
      </w:r>
      <w:r w:rsidRPr="00707A47">
        <w:rPr>
          <w:rFonts w:ascii="Arial" w:hAnsi="Arial" w:cs="Arial"/>
          <w:sz w:val="24"/>
          <w:szCs w:val="24"/>
        </w:rPr>
        <w:t>asserted</w:t>
      </w:r>
      <w:r w:rsidRPr="00707A47">
        <w:rPr>
          <w:rFonts w:ascii="Arial" w:hAnsi="Arial" w:cs="Arial"/>
          <w:spacing w:val="-4"/>
          <w:sz w:val="24"/>
          <w:szCs w:val="24"/>
        </w:rPr>
        <w:t xml:space="preserve"> </w:t>
      </w:r>
      <w:r w:rsidR="00DC2D27">
        <w:rPr>
          <w:rFonts w:ascii="Arial" w:hAnsi="Arial" w:cs="Arial"/>
          <w:sz w:val="24"/>
          <w:szCs w:val="24"/>
        </w:rPr>
        <w:t>a</w:t>
      </w:r>
      <w:r w:rsidRPr="00707A47">
        <w:rPr>
          <w:rFonts w:ascii="Arial" w:hAnsi="Arial" w:cs="Arial"/>
          <w:spacing w:val="-4"/>
          <w:sz w:val="24"/>
          <w:szCs w:val="24"/>
        </w:rPr>
        <w:t xml:space="preserve"> </w:t>
      </w:r>
      <w:r w:rsidRPr="00707A47">
        <w:rPr>
          <w:rFonts w:ascii="Arial" w:hAnsi="Arial" w:cs="Arial"/>
          <w:sz w:val="24"/>
          <w:szCs w:val="24"/>
        </w:rPr>
        <w:t>preposterous story to explain when she has no documents or proof of receiving a million dollars in untaxed income—and at the same time stated she has no bank or other accounts of any type</w:t>
      </w:r>
      <w:r w:rsidR="00DC2D27">
        <w:rPr>
          <w:rFonts w:ascii="Arial" w:hAnsi="Arial" w:cs="Arial"/>
          <w:sz w:val="24"/>
          <w:szCs w:val="24"/>
        </w:rPr>
        <w:t>.</w:t>
      </w:r>
    </w:p>
    <w:p w14:paraId="4E94667A" w14:textId="77777777" w:rsidR="0050083B" w:rsidRPr="00D44F6D" w:rsidRDefault="0050083B" w:rsidP="00D67557">
      <w:pPr>
        <w:pStyle w:val="ListParagraph"/>
        <w:spacing w:after="0" w:line="480" w:lineRule="auto"/>
        <w:ind w:left="0"/>
        <w:jc w:val="both"/>
        <w:outlineLvl w:val="0"/>
        <w:rPr>
          <w:rFonts w:ascii="Arial" w:hAnsi="Arial" w:cs="Arial"/>
          <w:color w:val="000000"/>
          <w:sz w:val="24"/>
          <w:bdr w:val="none" w:sz="0" w:space="0" w:color="auto" w:frame="1"/>
        </w:rPr>
      </w:pPr>
    </w:p>
    <w:p w14:paraId="185B4F30" w14:textId="38C12D33" w:rsidR="0050083B" w:rsidRPr="00D67557" w:rsidRDefault="0050083B" w:rsidP="00D67557">
      <w:pPr>
        <w:pStyle w:val="ListParagraph"/>
        <w:numPr>
          <w:ilvl w:val="0"/>
          <w:numId w:val="46"/>
        </w:numPr>
        <w:spacing w:after="0" w:line="480" w:lineRule="auto"/>
        <w:jc w:val="both"/>
        <w:outlineLvl w:val="0"/>
        <w:rPr>
          <w:rStyle w:val="ssrfcpassagedeactivated"/>
          <w:rFonts w:ascii="Arial" w:hAnsi="Arial" w:cs="Arial"/>
          <w:b/>
          <w:bCs/>
          <w:color w:val="000000"/>
          <w:sz w:val="24"/>
          <w:bdr w:val="none" w:sz="0" w:space="0" w:color="auto" w:frame="1"/>
        </w:rPr>
      </w:pPr>
      <w:r w:rsidRPr="00D67557">
        <w:rPr>
          <w:rStyle w:val="ssrfcpassagedeactivated"/>
          <w:rFonts w:ascii="Arial" w:hAnsi="Arial" w:cs="Arial"/>
          <w:b/>
          <w:bCs/>
          <w:color w:val="000000"/>
          <w:sz w:val="24"/>
          <w:bdr w:val="none" w:sz="0" w:space="0" w:color="auto" w:frame="1"/>
        </w:rPr>
        <w:t xml:space="preserve">Pre-FAC Facts Hamed Learned of After the FAC was </w:t>
      </w:r>
      <w:r w:rsidR="00D67557">
        <w:rPr>
          <w:rStyle w:val="ssrfcpassagedeactivated"/>
          <w:rFonts w:ascii="Arial" w:hAnsi="Arial" w:cs="Arial"/>
          <w:b/>
          <w:bCs/>
          <w:color w:val="000000"/>
          <w:sz w:val="24"/>
          <w:bdr w:val="none" w:sz="0" w:space="0" w:color="auto" w:frame="1"/>
        </w:rPr>
        <w:t>F</w:t>
      </w:r>
      <w:r w:rsidRPr="00D67557">
        <w:rPr>
          <w:rStyle w:val="ssrfcpassagedeactivated"/>
          <w:rFonts w:ascii="Arial" w:hAnsi="Arial" w:cs="Arial"/>
          <w:b/>
          <w:bCs/>
          <w:color w:val="000000"/>
          <w:sz w:val="24"/>
          <w:bdr w:val="none" w:sz="0" w:space="0" w:color="auto" w:frame="1"/>
        </w:rPr>
        <w:t>iled</w:t>
      </w:r>
    </w:p>
    <w:p w14:paraId="45AEC461" w14:textId="7760E976" w:rsidR="002418FC" w:rsidRPr="0080379A" w:rsidRDefault="002418FC"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At the time of the filing of the FAC, Hamed did not know of any of the following, </w:t>
      </w:r>
      <w:r w:rsidR="0080379A">
        <w:rPr>
          <w:rStyle w:val="ssrfcpassagedeactivated"/>
          <w:rFonts w:cs="Arial"/>
          <w:color w:val="000000"/>
          <w:bdr w:val="none" w:sz="0" w:space="0" w:color="auto" w:frame="1"/>
        </w:rPr>
        <w:t>p</w:t>
      </w:r>
      <w:r>
        <w:rPr>
          <w:rStyle w:val="ssrfcpassagedeactivated"/>
          <w:rFonts w:cs="Arial"/>
          <w:color w:val="000000"/>
          <w:bdr w:val="none" w:sz="0" w:space="0" w:color="auto" w:frame="1"/>
        </w:rPr>
        <w:t xml:space="preserve">re-FAC matters—all revealed within the past few months by Manal or the other </w:t>
      </w:r>
      <w:r w:rsidRPr="0080379A">
        <w:rPr>
          <w:rStyle w:val="ssrfcpassagedeactivated"/>
          <w:rFonts w:cs="Arial"/>
          <w:color w:val="000000"/>
          <w:bdr w:val="none" w:sz="0" w:space="0" w:color="auto" w:frame="1"/>
        </w:rPr>
        <w:t>defendants:</w:t>
      </w:r>
    </w:p>
    <w:p w14:paraId="01F9A208" w14:textId="1E0DED3F" w:rsidR="0050083B" w:rsidRPr="00675DDC" w:rsidRDefault="0050083B" w:rsidP="00DC3E55">
      <w:pPr>
        <w:pStyle w:val="ListParagraph"/>
        <w:widowControl w:val="0"/>
        <w:numPr>
          <w:ilvl w:val="0"/>
          <w:numId w:val="49"/>
        </w:numPr>
        <w:tabs>
          <w:tab w:val="left" w:pos="1080"/>
        </w:tabs>
        <w:autoSpaceDE w:val="0"/>
        <w:autoSpaceDN w:val="0"/>
        <w:spacing w:after="0" w:line="273" w:lineRule="auto"/>
        <w:jc w:val="both"/>
        <w:rPr>
          <w:rFonts w:ascii="Arial" w:hAnsi="Arial" w:cs="Arial"/>
          <w:sz w:val="24"/>
          <w:szCs w:val="24"/>
        </w:rPr>
      </w:pPr>
      <w:r w:rsidRPr="00675DDC">
        <w:rPr>
          <w:rFonts w:ascii="Arial" w:hAnsi="Arial" w:cs="Arial"/>
          <w:sz w:val="24"/>
          <w:szCs w:val="24"/>
        </w:rPr>
        <w:t xml:space="preserve">With no documentation she has </w:t>
      </w:r>
      <w:r w:rsidRPr="00675DDC">
        <w:rPr>
          <w:rFonts w:ascii="Arial" w:hAnsi="Arial" w:cs="Arial"/>
          <w:i/>
          <w:sz w:val="24"/>
          <w:szCs w:val="24"/>
        </w:rPr>
        <w:t xml:space="preserve">made extensive </w:t>
      </w:r>
      <w:r w:rsidRPr="00675DDC">
        <w:rPr>
          <w:rFonts w:ascii="Arial" w:hAnsi="Arial" w:cs="Arial"/>
          <w:sz w:val="24"/>
          <w:szCs w:val="24"/>
        </w:rPr>
        <w:t xml:space="preserve">statements concerning the million dollars she has received in interest. She, within the SOL, has for the first time, </w:t>
      </w:r>
      <w:r w:rsidR="0080379A" w:rsidRPr="00675DDC">
        <w:rPr>
          <w:rFonts w:ascii="Arial" w:hAnsi="Arial" w:cs="Arial"/>
          <w:sz w:val="24"/>
          <w:szCs w:val="24"/>
        </w:rPr>
        <w:t xml:space="preserve">(1) </w:t>
      </w:r>
      <w:r w:rsidRPr="00675DDC">
        <w:rPr>
          <w:rFonts w:ascii="Arial" w:hAnsi="Arial" w:cs="Arial"/>
          <w:sz w:val="24"/>
          <w:szCs w:val="24"/>
        </w:rPr>
        <w:t>admitted</w:t>
      </w:r>
      <w:r w:rsidRPr="00675DDC">
        <w:rPr>
          <w:rFonts w:ascii="Arial" w:hAnsi="Arial" w:cs="Arial"/>
          <w:i/>
          <w:sz w:val="24"/>
          <w:szCs w:val="24"/>
        </w:rPr>
        <w:t xml:space="preserve"> she paid no taxes </w:t>
      </w:r>
      <w:bookmarkStart w:id="3" w:name="_bookmark0"/>
      <w:bookmarkEnd w:id="3"/>
      <w:r w:rsidRPr="00675DDC">
        <w:rPr>
          <w:rFonts w:ascii="Arial" w:hAnsi="Arial" w:cs="Arial"/>
          <w:sz w:val="24"/>
          <w:szCs w:val="24"/>
        </w:rPr>
        <w:t>on those alleged funds</w:t>
      </w:r>
      <w:r w:rsidR="002418FC" w:rsidRPr="00675DDC">
        <w:rPr>
          <w:rFonts w:ascii="Arial" w:hAnsi="Arial" w:cs="Arial"/>
          <w:sz w:val="24"/>
          <w:szCs w:val="24"/>
        </w:rPr>
        <w:t>. S</w:t>
      </w:r>
      <w:r w:rsidRPr="00675DDC">
        <w:rPr>
          <w:rFonts w:ascii="Arial" w:hAnsi="Arial" w:cs="Arial"/>
          <w:sz w:val="24"/>
          <w:szCs w:val="24"/>
        </w:rPr>
        <w:t xml:space="preserve">he has also </w:t>
      </w:r>
      <w:r w:rsidR="0080379A" w:rsidRPr="00675DDC">
        <w:rPr>
          <w:rFonts w:ascii="Arial" w:hAnsi="Arial" w:cs="Arial"/>
          <w:sz w:val="24"/>
          <w:szCs w:val="24"/>
        </w:rPr>
        <w:t xml:space="preserve">(2) </w:t>
      </w:r>
      <w:r w:rsidRPr="00675DDC">
        <w:rPr>
          <w:rFonts w:ascii="Arial" w:hAnsi="Arial" w:cs="Arial"/>
          <w:i/>
          <w:sz w:val="24"/>
          <w:szCs w:val="24"/>
        </w:rPr>
        <w:t xml:space="preserve">recently </w:t>
      </w:r>
      <w:r w:rsidRPr="00675DDC">
        <w:rPr>
          <w:rFonts w:ascii="Arial" w:hAnsi="Arial" w:cs="Arial"/>
          <w:sz w:val="24"/>
          <w:szCs w:val="24"/>
        </w:rPr>
        <w:t xml:space="preserve">refused to supply critical tax returns that are relevant to those payments </w:t>
      </w:r>
      <w:r w:rsidRPr="00675DDC">
        <w:rPr>
          <w:rFonts w:ascii="Arial" w:hAnsi="Arial" w:cs="Arial"/>
          <w:sz w:val="24"/>
          <w:szCs w:val="24"/>
        </w:rPr>
        <w:lastRenderedPageBreak/>
        <w:t>and the alleged gifts at</w:t>
      </w:r>
      <w:r w:rsidRPr="00675DDC">
        <w:rPr>
          <w:rFonts w:ascii="Arial" w:hAnsi="Arial" w:cs="Arial"/>
          <w:spacing w:val="40"/>
          <w:sz w:val="24"/>
          <w:szCs w:val="24"/>
        </w:rPr>
        <w:t xml:space="preserve"> </w:t>
      </w:r>
      <w:r w:rsidRPr="00675DDC">
        <w:rPr>
          <w:rFonts w:ascii="Arial" w:hAnsi="Arial" w:cs="Arial"/>
          <w:sz w:val="24"/>
          <w:szCs w:val="24"/>
        </w:rPr>
        <w:t xml:space="preserve">the center of this case. </w:t>
      </w:r>
      <w:r w:rsidRPr="00675DDC">
        <w:rPr>
          <w:rFonts w:ascii="Arial" w:hAnsi="Arial" w:cs="Arial"/>
          <w:i/>
          <w:sz w:val="24"/>
          <w:szCs w:val="24"/>
        </w:rPr>
        <w:t xml:space="preserve">See </w:t>
      </w:r>
      <w:r w:rsidRPr="00D04BFC">
        <w:rPr>
          <w:rFonts w:ascii="Arial" w:hAnsi="Arial" w:cs="Arial"/>
          <w:iCs/>
          <w:sz w:val="24"/>
          <w:szCs w:val="24"/>
        </w:rPr>
        <w:t xml:space="preserve">Exhibit </w:t>
      </w:r>
      <w:r w:rsidR="00675DDC" w:rsidRPr="00D04BFC">
        <w:rPr>
          <w:rFonts w:ascii="Arial" w:hAnsi="Arial" w:cs="Arial"/>
          <w:iCs/>
          <w:sz w:val="24"/>
          <w:szCs w:val="24"/>
        </w:rPr>
        <w:t>1 to Hamed’s Motion to Amend</w:t>
      </w:r>
      <w:r w:rsidR="00D04BFC">
        <w:rPr>
          <w:rFonts w:ascii="Arial" w:hAnsi="Arial" w:cs="Arial"/>
          <w:iCs/>
          <w:sz w:val="24"/>
          <w:szCs w:val="24"/>
        </w:rPr>
        <w:t xml:space="preserve"> </w:t>
      </w:r>
      <w:r w:rsidRPr="00675DDC">
        <w:rPr>
          <w:rFonts w:ascii="Arial" w:hAnsi="Arial" w:cs="Arial"/>
          <w:sz w:val="24"/>
          <w:szCs w:val="24"/>
        </w:rPr>
        <w:t>(</w:t>
      </w:r>
      <w:r w:rsidR="00675DDC">
        <w:rPr>
          <w:rFonts w:ascii="Arial" w:hAnsi="Arial" w:cs="Arial"/>
          <w:sz w:val="24"/>
          <w:szCs w:val="24"/>
        </w:rPr>
        <w:t>Atty</w:t>
      </w:r>
      <w:r w:rsidR="00C40567">
        <w:rPr>
          <w:rFonts w:ascii="Arial" w:hAnsi="Arial" w:cs="Arial"/>
          <w:sz w:val="24"/>
          <w:szCs w:val="24"/>
        </w:rPr>
        <w:t xml:space="preserve">. Hymes: </w:t>
      </w:r>
      <w:r w:rsidRPr="00675DDC">
        <w:rPr>
          <w:rFonts w:ascii="Arial" w:hAnsi="Arial" w:cs="Arial"/>
          <w:sz w:val="24"/>
          <w:szCs w:val="24"/>
        </w:rPr>
        <w:t xml:space="preserve">“My client has indicated that she has not paid taxes on any interest payments paid to her by your clients. Therefore, I see no need for you to obtain copies of her tax returns for the years 1990 - 2000.) </w:t>
      </w:r>
      <w:r w:rsidR="0080379A" w:rsidRPr="00675DDC">
        <w:rPr>
          <w:rFonts w:ascii="Arial" w:hAnsi="Arial" w:cs="Arial"/>
          <w:sz w:val="24"/>
          <w:szCs w:val="24"/>
        </w:rPr>
        <w:t xml:space="preserve">Also (3) she has </w:t>
      </w:r>
      <w:r w:rsidR="0080379A" w:rsidRPr="00675DDC">
        <w:rPr>
          <w:rFonts w:ascii="Arial" w:hAnsi="Arial" w:cs="Arial"/>
          <w:i/>
          <w:sz w:val="24"/>
          <w:szCs w:val="24"/>
        </w:rPr>
        <w:t xml:space="preserve">recently </w:t>
      </w:r>
      <w:r w:rsidR="0080379A" w:rsidRPr="00675DDC">
        <w:rPr>
          <w:rFonts w:ascii="Arial" w:hAnsi="Arial" w:cs="Arial"/>
          <w:sz w:val="24"/>
          <w:szCs w:val="24"/>
        </w:rPr>
        <w:t>refused to supply critical bank information relevant to those payments and the alleged gifts at</w:t>
      </w:r>
      <w:r w:rsidR="0080379A" w:rsidRPr="00675DDC">
        <w:rPr>
          <w:rFonts w:ascii="Arial" w:hAnsi="Arial" w:cs="Arial"/>
          <w:spacing w:val="40"/>
          <w:sz w:val="24"/>
          <w:szCs w:val="24"/>
        </w:rPr>
        <w:t xml:space="preserve"> </w:t>
      </w:r>
      <w:r w:rsidR="0080379A" w:rsidRPr="00675DDC">
        <w:rPr>
          <w:rFonts w:ascii="Arial" w:hAnsi="Arial" w:cs="Arial"/>
          <w:sz w:val="24"/>
          <w:szCs w:val="24"/>
        </w:rPr>
        <w:t>the center of this case None of</w:t>
      </w:r>
      <w:r w:rsidR="002418FC" w:rsidRPr="00675DDC">
        <w:rPr>
          <w:rFonts w:ascii="Arial" w:hAnsi="Arial" w:cs="Arial"/>
          <w:sz w:val="24"/>
          <w:szCs w:val="24"/>
        </w:rPr>
        <w:t xml:space="preserve"> these facts were asserted</w:t>
      </w:r>
      <w:r w:rsidRPr="00675DDC">
        <w:rPr>
          <w:rFonts w:ascii="Arial" w:hAnsi="Arial" w:cs="Arial"/>
          <w:sz w:val="24"/>
          <w:szCs w:val="24"/>
        </w:rPr>
        <w:t xml:space="preserve"> prior to </w:t>
      </w:r>
      <w:r w:rsidR="002418FC" w:rsidRPr="00675DDC">
        <w:rPr>
          <w:rFonts w:ascii="Arial" w:hAnsi="Arial" w:cs="Arial"/>
          <w:sz w:val="24"/>
          <w:szCs w:val="24"/>
        </w:rPr>
        <w:t xml:space="preserve">FAC and both relate significantly to </w:t>
      </w:r>
      <w:r w:rsidRPr="00675DDC">
        <w:rPr>
          <w:rFonts w:ascii="Arial" w:hAnsi="Arial" w:cs="Arial"/>
          <w:sz w:val="24"/>
          <w:szCs w:val="24"/>
        </w:rPr>
        <w:t xml:space="preserve">the modern conspiracy by Defendants who now use </w:t>
      </w:r>
      <w:r w:rsidR="002418FC" w:rsidRPr="00675DDC">
        <w:rPr>
          <w:rFonts w:ascii="Arial" w:hAnsi="Arial" w:cs="Arial"/>
          <w:sz w:val="24"/>
          <w:szCs w:val="24"/>
        </w:rPr>
        <w:t xml:space="preserve">the payment of that interest </w:t>
      </w:r>
      <w:r w:rsidRPr="00675DDC">
        <w:rPr>
          <w:rFonts w:ascii="Arial" w:hAnsi="Arial" w:cs="Arial"/>
          <w:sz w:val="24"/>
          <w:szCs w:val="24"/>
        </w:rPr>
        <w:t>as an important point in support of the conspiracy.</w:t>
      </w:r>
    </w:p>
    <w:p w14:paraId="60C9CC38" w14:textId="77777777" w:rsidR="0050083B" w:rsidRPr="005F3725" w:rsidRDefault="0050083B" w:rsidP="00D67557">
      <w:pPr>
        <w:pStyle w:val="ListParagraph"/>
        <w:widowControl w:val="0"/>
        <w:tabs>
          <w:tab w:val="left" w:pos="1080"/>
        </w:tabs>
        <w:autoSpaceDE w:val="0"/>
        <w:autoSpaceDN w:val="0"/>
        <w:spacing w:after="0" w:line="273" w:lineRule="auto"/>
        <w:jc w:val="both"/>
        <w:rPr>
          <w:rFonts w:ascii="Arial" w:hAnsi="Arial" w:cs="Arial"/>
          <w:sz w:val="12"/>
          <w:szCs w:val="12"/>
        </w:rPr>
      </w:pPr>
    </w:p>
    <w:p w14:paraId="38AC6CD8" w14:textId="17534888" w:rsidR="0050083B" w:rsidRPr="002418FC" w:rsidRDefault="0050083B" w:rsidP="00D67557">
      <w:pPr>
        <w:pStyle w:val="ListParagraph"/>
        <w:widowControl w:val="0"/>
        <w:numPr>
          <w:ilvl w:val="0"/>
          <w:numId w:val="49"/>
        </w:numPr>
        <w:tabs>
          <w:tab w:val="left" w:pos="1080"/>
        </w:tabs>
        <w:autoSpaceDE w:val="0"/>
        <w:autoSpaceDN w:val="0"/>
        <w:spacing w:after="0" w:line="271" w:lineRule="auto"/>
        <w:contextualSpacing w:val="0"/>
        <w:jc w:val="both"/>
        <w:rPr>
          <w:rFonts w:ascii="Arial" w:hAnsi="Arial" w:cs="Arial"/>
          <w:sz w:val="24"/>
          <w:szCs w:val="24"/>
        </w:rPr>
      </w:pPr>
      <w:r w:rsidRPr="00707A47">
        <w:rPr>
          <w:rFonts w:ascii="Arial" w:hAnsi="Arial" w:cs="Arial"/>
          <w:sz w:val="24"/>
          <w:szCs w:val="24"/>
        </w:rPr>
        <w:t>She has repeatedly—up to the filing of this reply (</w:t>
      </w:r>
      <w:r w:rsidR="002418FC">
        <w:rPr>
          <w:rFonts w:ascii="Arial" w:hAnsi="Arial" w:cs="Arial"/>
          <w:sz w:val="24"/>
          <w:szCs w:val="24"/>
        </w:rPr>
        <w:t>and despite</w:t>
      </w:r>
      <w:r w:rsidRPr="00707A47">
        <w:rPr>
          <w:rFonts w:ascii="Arial" w:hAnsi="Arial" w:cs="Arial"/>
          <w:sz w:val="24"/>
          <w:szCs w:val="24"/>
        </w:rPr>
        <w:t xml:space="preserve"> agreeing to do so </w:t>
      </w:r>
      <w:r w:rsidR="002418FC">
        <w:rPr>
          <w:rFonts w:ascii="Arial" w:hAnsi="Arial" w:cs="Arial"/>
          <w:sz w:val="24"/>
          <w:szCs w:val="24"/>
        </w:rPr>
        <w:t xml:space="preserve">from </w:t>
      </w:r>
      <w:r w:rsidRPr="00707A47">
        <w:rPr>
          <w:rFonts w:ascii="Arial" w:hAnsi="Arial" w:cs="Arial"/>
          <w:sz w:val="24"/>
          <w:szCs w:val="24"/>
        </w:rPr>
        <w:t>2017</w:t>
      </w:r>
      <w:r w:rsidR="002418FC">
        <w:rPr>
          <w:rFonts w:ascii="Arial" w:hAnsi="Arial" w:cs="Arial"/>
          <w:sz w:val="24"/>
          <w:szCs w:val="24"/>
        </w:rPr>
        <w:t xml:space="preserve"> to the pre</w:t>
      </w:r>
      <w:r w:rsidR="00D04BFC">
        <w:rPr>
          <w:rFonts w:ascii="Arial" w:hAnsi="Arial" w:cs="Arial"/>
          <w:sz w:val="24"/>
          <w:szCs w:val="24"/>
        </w:rPr>
        <w:t>s</w:t>
      </w:r>
      <w:r w:rsidR="002418FC">
        <w:rPr>
          <w:rFonts w:ascii="Arial" w:hAnsi="Arial" w:cs="Arial"/>
          <w:sz w:val="24"/>
          <w:szCs w:val="24"/>
        </w:rPr>
        <w:t>ent</w:t>
      </w:r>
      <w:r w:rsidRPr="00707A47">
        <w:rPr>
          <w:rFonts w:ascii="Arial" w:hAnsi="Arial" w:cs="Arial"/>
          <w:sz w:val="24"/>
          <w:szCs w:val="24"/>
        </w:rPr>
        <w:t>) failed</w:t>
      </w:r>
      <w:r w:rsidRPr="00707A47">
        <w:rPr>
          <w:rFonts w:ascii="Arial" w:hAnsi="Arial" w:cs="Arial"/>
          <w:spacing w:val="-1"/>
          <w:sz w:val="24"/>
          <w:szCs w:val="24"/>
        </w:rPr>
        <w:t xml:space="preserve"> </w:t>
      </w:r>
      <w:r w:rsidRPr="00707A47">
        <w:rPr>
          <w:rFonts w:ascii="Arial" w:hAnsi="Arial" w:cs="Arial"/>
          <w:sz w:val="24"/>
          <w:szCs w:val="24"/>
        </w:rPr>
        <w:t>to</w:t>
      </w:r>
      <w:r w:rsidRPr="00707A47">
        <w:rPr>
          <w:rFonts w:ascii="Arial" w:hAnsi="Arial" w:cs="Arial"/>
          <w:spacing w:val="-1"/>
          <w:sz w:val="24"/>
          <w:szCs w:val="24"/>
        </w:rPr>
        <w:t xml:space="preserve"> </w:t>
      </w:r>
      <w:r w:rsidRPr="00707A47">
        <w:rPr>
          <w:rFonts w:ascii="Arial" w:hAnsi="Arial" w:cs="Arial"/>
          <w:sz w:val="24"/>
          <w:szCs w:val="24"/>
        </w:rPr>
        <w:t>provide</w:t>
      </w:r>
      <w:r w:rsidRPr="00707A47">
        <w:rPr>
          <w:rFonts w:ascii="Arial" w:hAnsi="Arial" w:cs="Arial"/>
          <w:spacing w:val="-1"/>
          <w:sz w:val="24"/>
          <w:szCs w:val="24"/>
        </w:rPr>
        <w:t xml:space="preserve"> </w:t>
      </w:r>
      <w:r w:rsidRPr="00707A47">
        <w:rPr>
          <w:rFonts w:ascii="Arial" w:hAnsi="Arial" w:cs="Arial"/>
          <w:sz w:val="24"/>
          <w:szCs w:val="24"/>
        </w:rPr>
        <w:t>her</w:t>
      </w:r>
      <w:r w:rsidRPr="00707A47">
        <w:rPr>
          <w:rFonts w:ascii="Arial" w:hAnsi="Arial" w:cs="Arial"/>
          <w:spacing w:val="-1"/>
          <w:sz w:val="24"/>
          <w:szCs w:val="24"/>
        </w:rPr>
        <w:t xml:space="preserve"> </w:t>
      </w:r>
      <w:r w:rsidRPr="00707A47">
        <w:rPr>
          <w:rFonts w:ascii="Arial" w:hAnsi="Arial" w:cs="Arial"/>
          <w:sz w:val="24"/>
          <w:szCs w:val="24"/>
        </w:rPr>
        <w:t>passports,</w:t>
      </w:r>
      <w:r w:rsidRPr="00707A47">
        <w:rPr>
          <w:rFonts w:ascii="Arial" w:hAnsi="Arial" w:cs="Arial"/>
          <w:spacing w:val="-1"/>
          <w:sz w:val="24"/>
          <w:szCs w:val="24"/>
        </w:rPr>
        <w:t xml:space="preserve"> </w:t>
      </w:r>
      <w:r w:rsidRPr="00707A47">
        <w:rPr>
          <w:rFonts w:ascii="Arial" w:hAnsi="Arial" w:cs="Arial"/>
          <w:sz w:val="24"/>
          <w:szCs w:val="24"/>
        </w:rPr>
        <w:t>which</w:t>
      </w:r>
      <w:r w:rsidRPr="00707A47">
        <w:rPr>
          <w:rFonts w:ascii="Arial" w:hAnsi="Arial" w:cs="Arial"/>
          <w:spacing w:val="-1"/>
          <w:sz w:val="24"/>
          <w:szCs w:val="24"/>
        </w:rPr>
        <w:t xml:space="preserve"> </w:t>
      </w:r>
      <w:r w:rsidRPr="00707A47">
        <w:rPr>
          <w:rFonts w:ascii="Arial" w:hAnsi="Arial" w:cs="Arial"/>
          <w:sz w:val="24"/>
          <w:szCs w:val="24"/>
        </w:rPr>
        <w:t>would</w:t>
      </w:r>
      <w:r w:rsidRPr="00707A47">
        <w:rPr>
          <w:rFonts w:ascii="Arial" w:hAnsi="Arial" w:cs="Arial"/>
          <w:spacing w:val="-1"/>
          <w:sz w:val="24"/>
          <w:szCs w:val="24"/>
        </w:rPr>
        <w:t xml:space="preserve"> </w:t>
      </w:r>
      <w:r w:rsidRPr="00707A47">
        <w:rPr>
          <w:rFonts w:ascii="Arial" w:hAnsi="Arial" w:cs="Arial"/>
          <w:sz w:val="24"/>
          <w:szCs w:val="24"/>
        </w:rPr>
        <w:t>show</w:t>
      </w:r>
      <w:r w:rsidRPr="00707A47">
        <w:rPr>
          <w:rFonts w:ascii="Arial" w:hAnsi="Arial" w:cs="Arial"/>
          <w:spacing w:val="-1"/>
          <w:sz w:val="24"/>
          <w:szCs w:val="24"/>
        </w:rPr>
        <w:t xml:space="preserve"> </w:t>
      </w:r>
      <w:r w:rsidRPr="00707A47">
        <w:rPr>
          <w:rFonts w:ascii="Arial" w:hAnsi="Arial" w:cs="Arial"/>
          <w:sz w:val="24"/>
          <w:szCs w:val="24"/>
        </w:rPr>
        <w:t>travel</w:t>
      </w:r>
      <w:r w:rsidRPr="00707A47">
        <w:rPr>
          <w:rFonts w:ascii="Arial" w:hAnsi="Arial" w:cs="Arial"/>
          <w:spacing w:val="-1"/>
          <w:sz w:val="24"/>
          <w:szCs w:val="24"/>
        </w:rPr>
        <w:t xml:space="preserve"> </w:t>
      </w:r>
      <w:r w:rsidRPr="00707A47">
        <w:rPr>
          <w:rFonts w:ascii="Arial" w:hAnsi="Arial" w:cs="Arial"/>
          <w:sz w:val="24"/>
          <w:szCs w:val="24"/>
        </w:rPr>
        <w:t>related</w:t>
      </w:r>
      <w:r w:rsidRPr="00707A47">
        <w:rPr>
          <w:rFonts w:ascii="Arial" w:hAnsi="Arial" w:cs="Arial"/>
          <w:spacing w:val="-1"/>
          <w:sz w:val="24"/>
          <w:szCs w:val="24"/>
        </w:rPr>
        <w:t xml:space="preserve"> </w:t>
      </w:r>
      <w:r w:rsidRPr="00707A47">
        <w:rPr>
          <w:rFonts w:ascii="Arial" w:hAnsi="Arial" w:cs="Arial"/>
          <w:sz w:val="24"/>
          <w:szCs w:val="24"/>
        </w:rPr>
        <w:t>to</w:t>
      </w:r>
      <w:r w:rsidRPr="00707A47">
        <w:rPr>
          <w:rFonts w:ascii="Arial" w:hAnsi="Arial" w:cs="Arial"/>
          <w:spacing w:val="-1"/>
          <w:sz w:val="24"/>
          <w:szCs w:val="24"/>
        </w:rPr>
        <w:t xml:space="preserve"> </w:t>
      </w:r>
      <w:r w:rsidRPr="00707A47">
        <w:rPr>
          <w:rFonts w:ascii="Arial" w:hAnsi="Arial" w:cs="Arial"/>
          <w:sz w:val="24"/>
          <w:szCs w:val="24"/>
        </w:rPr>
        <w:t xml:space="preserve">the conspiracy during both the original acts and currently. That is a new act in support of the conspiracy. Not only were these agreed to in </w:t>
      </w:r>
      <w:bookmarkStart w:id="4" w:name="_bookmark1"/>
      <w:bookmarkEnd w:id="4"/>
      <w:r w:rsidRPr="00707A47">
        <w:rPr>
          <w:rFonts w:ascii="Arial" w:hAnsi="Arial" w:cs="Arial"/>
          <w:sz w:val="24"/>
          <w:szCs w:val="24"/>
        </w:rPr>
        <w:t>2017,</w:t>
      </w:r>
      <w:r w:rsidRPr="00707A47">
        <w:rPr>
          <w:rStyle w:val="FootnoteReference"/>
          <w:rFonts w:ascii="Arial" w:hAnsi="Arial" w:cs="Arial"/>
          <w:sz w:val="24"/>
          <w:szCs w:val="24"/>
        </w:rPr>
        <w:footnoteReference w:id="3"/>
      </w:r>
      <w:r w:rsidRPr="00707A47">
        <w:rPr>
          <w:rFonts w:ascii="Arial" w:hAnsi="Arial" w:cs="Arial"/>
          <w:sz w:val="24"/>
          <w:szCs w:val="24"/>
        </w:rPr>
        <w:t xml:space="preserve"> but again in November of </w:t>
      </w:r>
      <w:r>
        <w:rPr>
          <w:rFonts w:ascii="Arial" w:hAnsi="Arial" w:cs="Arial"/>
          <w:sz w:val="24"/>
          <w:szCs w:val="24"/>
        </w:rPr>
        <w:t xml:space="preserve">2022, </w:t>
      </w:r>
      <w:r w:rsidRPr="00707A47">
        <w:rPr>
          <w:rFonts w:ascii="Arial" w:hAnsi="Arial" w:cs="Arial"/>
          <w:sz w:val="24"/>
          <w:szCs w:val="24"/>
        </w:rPr>
        <w:t xml:space="preserve">by her counsel in his </w:t>
      </w:r>
      <w:r>
        <w:rPr>
          <w:rFonts w:ascii="Arial" w:hAnsi="Arial" w:cs="Arial"/>
          <w:sz w:val="24"/>
          <w:szCs w:val="24"/>
        </w:rPr>
        <w:t xml:space="preserve">referenced </w:t>
      </w:r>
      <w:r w:rsidRPr="00707A47">
        <w:rPr>
          <w:rFonts w:ascii="Arial" w:hAnsi="Arial" w:cs="Arial"/>
          <w:sz w:val="24"/>
          <w:szCs w:val="24"/>
        </w:rPr>
        <w:t>letter—but they</w:t>
      </w:r>
      <w:r w:rsidRPr="00707A47">
        <w:rPr>
          <w:rFonts w:ascii="Arial" w:hAnsi="Arial" w:cs="Arial"/>
          <w:spacing w:val="-2"/>
          <w:sz w:val="24"/>
          <w:szCs w:val="24"/>
        </w:rPr>
        <w:t xml:space="preserve"> </w:t>
      </w:r>
      <w:r w:rsidRPr="00707A47">
        <w:rPr>
          <w:rFonts w:ascii="Arial" w:hAnsi="Arial" w:cs="Arial"/>
          <w:sz w:val="24"/>
          <w:szCs w:val="24"/>
        </w:rPr>
        <w:t>still</w:t>
      </w:r>
      <w:r w:rsidRPr="00707A47">
        <w:rPr>
          <w:rFonts w:ascii="Arial" w:hAnsi="Arial" w:cs="Arial"/>
          <w:spacing w:val="-2"/>
          <w:sz w:val="24"/>
          <w:szCs w:val="24"/>
        </w:rPr>
        <w:t xml:space="preserve"> </w:t>
      </w:r>
      <w:r w:rsidRPr="00707A47">
        <w:rPr>
          <w:rFonts w:ascii="Arial" w:hAnsi="Arial" w:cs="Arial"/>
          <w:sz w:val="24"/>
          <w:szCs w:val="24"/>
        </w:rPr>
        <w:t>have</w:t>
      </w:r>
      <w:r w:rsidRPr="00707A47">
        <w:rPr>
          <w:rFonts w:ascii="Arial" w:hAnsi="Arial" w:cs="Arial"/>
          <w:spacing w:val="-2"/>
          <w:sz w:val="24"/>
          <w:szCs w:val="24"/>
        </w:rPr>
        <w:t xml:space="preserve"> </w:t>
      </w:r>
      <w:r w:rsidRPr="00707A47">
        <w:rPr>
          <w:rFonts w:ascii="Arial" w:hAnsi="Arial" w:cs="Arial"/>
          <w:sz w:val="24"/>
          <w:szCs w:val="24"/>
        </w:rPr>
        <w:t>not</w:t>
      </w:r>
      <w:r w:rsidRPr="00707A47">
        <w:rPr>
          <w:rFonts w:ascii="Arial" w:hAnsi="Arial" w:cs="Arial"/>
          <w:spacing w:val="-3"/>
          <w:sz w:val="24"/>
          <w:szCs w:val="24"/>
        </w:rPr>
        <w:t xml:space="preserve"> </w:t>
      </w:r>
      <w:r w:rsidRPr="00707A47">
        <w:rPr>
          <w:rFonts w:ascii="Arial" w:hAnsi="Arial" w:cs="Arial"/>
          <w:sz w:val="24"/>
          <w:szCs w:val="24"/>
        </w:rPr>
        <w:t>been</w:t>
      </w:r>
      <w:r w:rsidRPr="00707A47">
        <w:rPr>
          <w:rFonts w:ascii="Arial" w:hAnsi="Arial" w:cs="Arial"/>
          <w:spacing w:val="-2"/>
          <w:sz w:val="24"/>
          <w:szCs w:val="24"/>
        </w:rPr>
        <w:t xml:space="preserve"> provided.</w:t>
      </w:r>
    </w:p>
    <w:p w14:paraId="10202476" w14:textId="77777777" w:rsidR="002418FC" w:rsidRPr="002418FC" w:rsidRDefault="002418FC" w:rsidP="00D67557">
      <w:pPr>
        <w:widowControl w:val="0"/>
        <w:tabs>
          <w:tab w:val="left" w:pos="1080"/>
        </w:tabs>
        <w:autoSpaceDE w:val="0"/>
        <w:autoSpaceDN w:val="0"/>
        <w:spacing w:line="271" w:lineRule="auto"/>
        <w:jc w:val="both"/>
        <w:rPr>
          <w:rFonts w:cs="Arial"/>
        </w:rPr>
      </w:pPr>
    </w:p>
    <w:p w14:paraId="1467B572" w14:textId="13D8FF59" w:rsidR="0050083B" w:rsidRPr="00D67557" w:rsidRDefault="0050083B" w:rsidP="00D67557">
      <w:pPr>
        <w:pStyle w:val="ListParagraph"/>
        <w:numPr>
          <w:ilvl w:val="0"/>
          <w:numId w:val="46"/>
        </w:numPr>
        <w:spacing w:after="0" w:line="480" w:lineRule="auto"/>
        <w:jc w:val="both"/>
        <w:outlineLvl w:val="0"/>
        <w:rPr>
          <w:rStyle w:val="ssrfcpassagedeactivated"/>
          <w:rFonts w:ascii="Arial" w:hAnsi="Arial" w:cs="Arial"/>
          <w:b/>
          <w:bCs/>
          <w:color w:val="000000"/>
          <w:sz w:val="24"/>
          <w:bdr w:val="none" w:sz="0" w:space="0" w:color="auto" w:frame="1"/>
        </w:rPr>
      </w:pPr>
      <w:r w:rsidRPr="00D67557">
        <w:rPr>
          <w:rStyle w:val="ssrfcpassagedeactivated"/>
          <w:rFonts w:ascii="Arial" w:hAnsi="Arial" w:cs="Arial"/>
          <w:b/>
          <w:bCs/>
          <w:color w:val="000000"/>
          <w:sz w:val="24"/>
          <w:bdr w:val="none" w:sz="0" w:space="0" w:color="auto" w:frame="1"/>
        </w:rPr>
        <w:t xml:space="preserve">Argument as to why the SASC Should be </w:t>
      </w:r>
      <w:r w:rsidR="00E178F0" w:rsidRPr="00D67557">
        <w:rPr>
          <w:rStyle w:val="ssrfcpassagedeactivated"/>
          <w:rFonts w:ascii="Arial" w:hAnsi="Arial" w:cs="Arial"/>
          <w:b/>
          <w:bCs/>
          <w:color w:val="000000"/>
          <w:sz w:val="24"/>
          <w:bdr w:val="none" w:sz="0" w:space="0" w:color="auto" w:frame="1"/>
        </w:rPr>
        <w:t>Allowed.</w:t>
      </w:r>
    </w:p>
    <w:p w14:paraId="69A88132" w14:textId="0484BDA7" w:rsidR="0050083B" w:rsidRPr="00D67557" w:rsidRDefault="00D67557" w:rsidP="00D67557">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In </w:t>
      </w:r>
      <w:r w:rsidRPr="00D67557">
        <w:rPr>
          <w:i/>
          <w:iCs/>
          <w:bdr w:val="none" w:sz="0" w:space="0" w:color="auto" w:frame="1"/>
        </w:rPr>
        <w:t>Doe v. Butte Cty. Prob. Dep't</w:t>
      </w:r>
      <w:r w:rsidRPr="00D67557">
        <w:rPr>
          <w:bdr w:val="none" w:sz="0" w:space="0" w:color="auto" w:frame="1"/>
        </w:rPr>
        <w:t>, No. 2:20-cv-02248-TLN-DMC, 2022 U.S. Dist. LEXIS 42279, at *9 (E.D. Cal. Mar. 8, 2022)</w:t>
      </w:r>
      <w:r>
        <w:rPr>
          <w:bdr w:val="none" w:sz="0" w:space="0" w:color="auto" w:frame="1"/>
        </w:rPr>
        <w:t xml:space="preserve"> the court recites the U.S. Supreme Court’s five “Foman” Rule 15(d) factors:</w:t>
      </w:r>
    </w:p>
    <w:p w14:paraId="7BC9966C" w14:textId="77777777" w:rsidR="00D67557" w:rsidRDefault="00D67557" w:rsidP="00D67557">
      <w:pPr>
        <w:ind w:left="720" w:right="720"/>
        <w:jc w:val="both"/>
        <w:outlineLvl w:val="0"/>
        <w:rPr>
          <w:rStyle w:val="ssrfcsection"/>
          <w:rFonts w:cs="Arial"/>
          <w:color w:val="000000"/>
          <w:bdr w:val="none" w:sz="0" w:space="0" w:color="auto" w:frame="1"/>
        </w:rPr>
      </w:pPr>
      <w:r w:rsidRPr="00D67557">
        <w:rPr>
          <w:rFonts w:cs="Arial"/>
          <w:color w:val="000000"/>
        </w:rPr>
        <w:t>Courts commonly apply the following five </w:t>
      </w:r>
      <w:r w:rsidRPr="00D67557">
        <w:rPr>
          <w:rStyle w:val="ssit"/>
          <w:rFonts w:cs="Arial"/>
          <w:i/>
          <w:iCs/>
          <w:color w:val="000000"/>
          <w:bdr w:val="none" w:sz="0" w:space="0" w:color="auto" w:frame="1"/>
        </w:rPr>
        <w:t>Foman</w:t>
      </w:r>
      <w:r w:rsidRPr="00D67557">
        <w:rPr>
          <w:rStyle w:val="ssrfcsection"/>
          <w:rFonts w:cs="Arial"/>
          <w:color w:val="000000"/>
          <w:bdr w:val="none" w:sz="0" w:space="0" w:color="auto" w:frame="1"/>
        </w:rPr>
        <w:t> factors to Rule 15(d) motions: (1) undue delay; (2) bad faith or dilatory motive on the part of the movant; (3) repeated failure of previous amendments; (4) undue prejudice to the opposing party; and (5) futility of the amendment. </w:t>
      </w:r>
      <w:r w:rsidRPr="00D67557">
        <w:rPr>
          <w:rStyle w:val="ssit"/>
          <w:rFonts w:cs="Arial"/>
          <w:i/>
          <w:iCs/>
          <w:color w:val="000000"/>
          <w:bdr w:val="none" w:sz="0" w:space="0" w:color="auto" w:frame="1"/>
        </w:rPr>
        <w:t>Foman</w:t>
      </w:r>
      <w:r w:rsidRPr="00D67557">
        <w:rPr>
          <w:rStyle w:val="ssrfcsection"/>
          <w:rFonts w:cs="Arial"/>
          <w:color w:val="000000"/>
          <w:bdr w:val="none" w:sz="0" w:space="0" w:color="auto" w:frame="1"/>
        </w:rPr>
        <w:t>, 371 U.S. at 182.</w:t>
      </w:r>
    </w:p>
    <w:p w14:paraId="37800167" w14:textId="77777777" w:rsidR="00D67557" w:rsidRDefault="00D67557" w:rsidP="00D67557">
      <w:pPr>
        <w:ind w:left="720" w:right="720"/>
        <w:jc w:val="both"/>
        <w:outlineLvl w:val="0"/>
        <w:rPr>
          <w:rFonts w:cs="Arial"/>
          <w:color w:val="000000"/>
        </w:rPr>
      </w:pPr>
    </w:p>
    <w:p w14:paraId="144A6387" w14:textId="5F18F93A" w:rsidR="00D67557" w:rsidRDefault="00D67557" w:rsidP="00D67557">
      <w:pPr>
        <w:spacing w:line="480" w:lineRule="auto"/>
        <w:jc w:val="both"/>
        <w:outlineLvl w:val="0"/>
        <w:rPr>
          <w:rFonts w:cs="Arial"/>
          <w:color w:val="000000"/>
        </w:rPr>
      </w:pPr>
      <w:r>
        <w:rPr>
          <w:rFonts w:cs="Arial"/>
          <w:color w:val="000000"/>
        </w:rPr>
        <w:t xml:space="preserve">As these are the same as the </w:t>
      </w:r>
      <w:r w:rsidRPr="00D67557">
        <w:rPr>
          <w:rFonts w:cs="Arial"/>
          <w:i/>
          <w:iCs/>
          <w:color w:val="000000"/>
        </w:rPr>
        <w:t>Davis</w:t>
      </w:r>
      <w:r>
        <w:rPr>
          <w:rFonts w:cs="Arial"/>
          <w:color w:val="000000"/>
        </w:rPr>
        <w:t xml:space="preserve"> factors set out by the VI Supreme Court, Hamed will not do a </w:t>
      </w:r>
      <w:r w:rsidRPr="00D67557">
        <w:rPr>
          <w:rFonts w:cs="Arial"/>
          <w:i/>
          <w:iCs/>
          <w:color w:val="000000"/>
        </w:rPr>
        <w:t>Banks</w:t>
      </w:r>
      <w:r>
        <w:rPr>
          <w:rFonts w:cs="Arial"/>
          <w:color w:val="000000"/>
        </w:rPr>
        <w:t xml:space="preserve"> analysis. Similarly, as Hamed has already </w:t>
      </w:r>
      <w:r w:rsidR="00675DDC">
        <w:rPr>
          <w:rFonts w:cs="Arial"/>
          <w:color w:val="000000"/>
        </w:rPr>
        <w:t>briefed</w:t>
      </w:r>
      <w:r>
        <w:rPr>
          <w:rFonts w:cs="Arial"/>
          <w:color w:val="000000"/>
        </w:rPr>
        <w:t xml:space="preserve"> these identical factors in his parallel motion to amend, he will not restate his </w:t>
      </w:r>
      <w:r w:rsidR="00675DDC">
        <w:rPr>
          <w:rFonts w:cs="Arial"/>
          <w:color w:val="000000"/>
        </w:rPr>
        <w:t xml:space="preserve">arguments </w:t>
      </w:r>
      <w:r>
        <w:rPr>
          <w:rFonts w:cs="Arial"/>
          <w:color w:val="000000"/>
        </w:rPr>
        <w:t>here. He incorporates th</w:t>
      </w:r>
      <w:r w:rsidR="00675DDC">
        <w:rPr>
          <w:rFonts w:cs="Arial"/>
          <w:color w:val="000000"/>
        </w:rPr>
        <w:t xml:space="preserve">ose </w:t>
      </w:r>
      <w:r>
        <w:rPr>
          <w:rFonts w:cs="Arial"/>
          <w:color w:val="000000"/>
        </w:rPr>
        <w:t>argument</w:t>
      </w:r>
      <w:r w:rsidR="00675DDC">
        <w:rPr>
          <w:rFonts w:cs="Arial"/>
          <w:color w:val="000000"/>
        </w:rPr>
        <w:t>s</w:t>
      </w:r>
      <w:r>
        <w:rPr>
          <w:rFonts w:cs="Arial"/>
          <w:color w:val="000000"/>
        </w:rPr>
        <w:t xml:space="preserve"> here </w:t>
      </w:r>
      <w:r w:rsidRPr="00D67557">
        <w:rPr>
          <w:rFonts w:cs="Arial"/>
          <w:i/>
          <w:iCs/>
          <w:color w:val="000000"/>
        </w:rPr>
        <w:t>in toto</w:t>
      </w:r>
      <w:r>
        <w:rPr>
          <w:rFonts w:cs="Arial"/>
          <w:color w:val="000000"/>
        </w:rPr>
        <w:t>.</w:t>
      </w:r>
    </w:p>
    <w:p w14:paraId="5F840A4D" w14:textId="77777777" w:rsidR="00D67557" w:rsidRPr="00D67557" w:rsidRDefault="00D67557" w:rsidP="00D67557">
      <w:pPr>
        <w:pStyle w:val="ListParagraph"/>
        <w:numPr>
          <w:ilvl w:val="0"/>
          <w:numId w:val="46"/>
        </w:numPr>
        <w:spacing w:after="0" w:line="480" w:lineRule="auto"/>
        <w:jc w:val="both"/>
        <w:outlineLvl w:val="0"/>
        <w:rPr>
          <w:rFonts w:ascii="Arial" w:hAnsi="Arial" w:cs="Arial"/>
          <w:b/>
          <w:bCs/>
          <w:color w:val="000000"/>
          <w:sz w:val="24"/>
          <w:szCs w:val="24"/>
        </w:rPr>
      </w:pPr>
      <w:r w:rsidRPr="00D67557">
        <w:rPr>
          <w:rFonts w:ascii="Arial" w:hAnsi="Arial" w:cs="Arial"/>
          <w:b/>
          <w:bCs/>
          <w:color w:val="000000"/>
          <w:sz w:val="24"/>
          <w:szCs w:val="24"/>
        </w:rPr>
        <w:lastRenderedPageBreak/>
        <w:t>Conclusion</w:t>
      </w:r>
    </w:p>
    <w:p w14:paraId="6C705A33" w14:textId="0B52FF11" w:rsidR="00D67557" w:rsidRPr="00D67557" w:rsidRDefault="00D67557" w:rsidP="00D67557">
      <w:pPr>
        <w:pStyle w:val="NormalWeb"/>
        <w:spacing w:before="0" w:beforeAutospacing="0" w:after="0" w:afterAutospacing="0" w:line="480" w:lineRule="auto"/>
        <w:ind w:firstLine="720"/>
        <w:jc w:val="both"/>
        <w:outlineLvl w:val="0"/>
        <w:rPr>
          <w:rFonts w:ascii="Arial" w:hAnsi="Arial" w:cs="Arial"/>
          <w:color w:val="000000"/>
          <w:szCs w:val="27"/>
        </w:rPr>
      </w:pPr>
      <w:r w:rsidRPr="00D67557">
        <w:rPr>
          <w:rFonts w:ascii="Arial" w:hAnsi="Arial" w:cs="Arial"/>
          <w:color w:val="000000"/>
          <w:szCs w:val="27"/>
        </w:rPr>
        <w:t xml:space="preserve">Based on the liberal text of the Rule, the early stage of the proceedings, the prior statements of all of the defendants that </w:t>
      </w:r>
      <w:r w:rsidR="00675DDC">
        <w:rPr>
          <w:rFonts w:ascii="Arial" w:hAnsi="Arial" w:cs="Arial"/>
          <w:color w:val="000000"/>
          <w:szCs w:val="27"/>
        </w:rPr>
        <w:t>Manal</w:t>
      </w:r>
      <w:r w:rsidRPr="00D67557">
        <w:rPr>
          <w:rFonts w:ascii="Arial" w:hAnsi="Arial" w:cs="Arial"/>
          <w:color w:val="000000"/>
          <w:szCs w:val="27"/>
        </w:rPr>
        <w:t xml:space="preserve"> </w:t>
      </w:r>
      <w:r w:rsidR="00675DDC" w:rsidRPr="00202999">
        <w:rPr>
          <w:rFonts w:ascii="Arial" w:hAnsi="Arial" w:cs="Arial"/>
          <w:i/>
          <w:iCs/>
          <w:color w:val="000000"/>
          <w:szCs w:val="27"/>
          <w:u w:val="single"/>
        </w:rPr>
        <w:t>must</w:t>
      </w:r>
      <w:r w:rsidRPr="00D67557">
        <w:rPr>
          <w:rFonts w:ascii="Arial" w:hAnsi="Arial" w:cs="Arial"/>
          <w:color w:val="000000"/>
          <w:szCs w:val="27"/>
        </w:rPr>
        <w:t xml:space="preserve"> be a party here</w:t>
      </w:r>
      <w:r w:rsidR="00202999">
        <w:rPr>
          <w:rFonts w:ascii="Arial" w:hAnsi="Arial" w:cs="Arial"/>
          <w:color w:val="000000"/>
          <w:szCs w:val="27"/>
        </w:rPr>
        <w:t>,</w:t>
      </w:r>
      <w:r w:rsidRPr="00D67557">
        <w:rPr>
          <w:rFonts w:ascii="Arial" w:hAnsi="Arial" w:cs="Arial"/>
          <w:color w:val="000000"/>
          <w:szCs w:val="27"/>
        </w:rPr>
        <w:t xml:space="preserve"> and the commonality of the related defendants and their counsel, this </w:t>
      </w:r>
      <w:r w:rsidR="00E178F0" w:rsidRPr="00D67557">
        <w:rPr>
          <w:rFonts w:ascii="Arial" w:hAnsi="Arial" w:cs="Arial"/>
          <w:color w:val="000000"/>
          <w:szCs w:val="27"/>
        </w:rPr>
        <w:t>is</w:t>
      </w:r>
      <w:r w:rsidRPr="00D67557">
        <w:rPr>
          <w:rFonts w:ascii="Arial" w:hAnsi="Arial" w:cs="Arial"/>
          <w:color w:val="000000"/>
          <w:szCs w:val="27"/>
        </w:rPr>
        <w:t xml:space="preserve"> a perfect situation for amendment.</w:t>
      </w:r>
    </w:p>
    <w:p w14:paraId="2D415562" w14:textId="3C0D49E7" w:rsidR="00D67557" w:rsidRPr="00D67557" w:rsidRDefault="00D67557" w:rsidP="00D67557">
      <w:pPr>
        <w:pStyle w:val="NormalWeb"/>
        <w:spacing w:before="0" w:beforeAutospacing="0" w:after="0" w:afterAutospacing="0" w:line="480" w:lineRule="auto"/>
        <w:ind w:firstLine="720"/>
        <w:jc w:val="both"/>
        <w:outlineLvl w:val="0"/>
        <w:rPr>
          <w:rFonts w:ascii="Arial" w:hAnsi="Arial" w:cs="Arial"/>
          <w:color w:val="000000"/>
          <w:szCs w:val="27"/>
        </w:rPr>
      </w:pPr>
      <w:r w:rsidRPr="00D67557">
        <w:rPr>
          <w:rFonts w:ascii="Arial" w:hAnsi="Arial" w:cs="Arial"/>
          <w:color w:val="000000"/>
          <w:szCs w:val="27"/>
        </w:rPr>
        <w:t xml:space="preserve">The proposed </w:t>
      </w:r>
      <w:r w:rsidRPr="00675DDC">
        <w:rPr>
          <w:rFonts w:ascii="Arial" w:hAnsi="Arial" w:cs="Arial"/>
          <w:i/>
          <w:iCs/>
          <w:color w:val="000000"/>
          <w:szCs w:val="27"/>
        </w:rPr>
        <w:t>Second Amended and Supplemented Complaint</w:t>
      </w:r>
      <w:r w:rsidRPr="00D67557">
        <w:rPr>
          <w:rFonts w:ascii="Arial" w:hAnsi="Arial" w:cs="Arial"/>
          <w:color w:val="000000"/>
          <w:szCs w:val="27"/>
        </w:rPr>
        <w:t xml:space="preserve"> is attached as </w:t>
      </w:r>
      <w:r w:rsidRPr="00D67557">
        <w:rPr>
          <w:rFonts w:ascii="Arial" w:hAnsi="Arial" w:cs="Arial"/>
          <w:b/>
          <w:bCs/>
          <w:color w:val="000000"/>
          <w:szCs w:val="27"/>
        </w:rPr>
        <w:t>Exhibit A</w:t>
      </w:r>
      <w:r w:rsidRPr="00D67557">
        <w:rPr>
          <w:rFonts w:ascii="Arial" w:hAnsi="Arial" w:cs="Arial"/>
          <w:color w:val="000000"/>
          <w:szCs w:val="27"/>
        </w:rPr>
        <w:t>,</w:t>
      </w:r>
      <w:r>
        <w:rPr>
          <w:rFonts w:ascii="Arial" w:hAnsi="Arial" w:cs="Arial"/>
          <w:color w:val="000000"/>
          <w:szCs w:val="27"/>
        </w:rPr>
        <w:t xml:space="preserve"> </w:t>
      </w:r>
      <w:r w:rsidRPr="00D67557">
        <w:rPr>
          <w:rFonts w:ascii="Arial" w:hAnsi="Arial" w:cs="Arial"/>
          <w:color w:val="000000"/>
          <w:szCs w:val="27"/>
        </w:rPr>
        <w:t xml:space="preserve">and the redline of that document is attached as </w:t>
      </w:r>
      <w:r w:rsidRPr="00D67557">
        <w:rPr>
          <w:rFonts w:ascii="Arial" w:hAnsi="Arial" w:cs="Arial"/>
          <w:b/>
          <w:bCs/>
          <w:color w:val="000000"/>
          <w:szCs w:val="27"/>
        </w:rPr>
        <w:t>Exhibit B</w:t>
      </w:r>
      <w:r w:rsidRPr="00D67557">
        <w:rPr>
          <w:rFonts w:ascii="Arial" w:hAnsi="Arial" w:cs="Arial"/>
          <w:color w:val="000000"/>
          <w:szCs w:val="27"/>
        </w:rPr>
        <w:t xml:space="preserve">. A proposed order is attached as </w:t>
      </w:r>
      <w:r w:rsidRPr="00D67557">
        <w:rPr>
          <w:rFonts w:ascii="Arial" w:hAnsi="Arial" w:cs="Arial"/>
          <w:b/>
          <w:bCs/>
          <w:color w:val="000000"/>
          <w:szCs w:val="27"/>
        </w:rPr>
        <w:t>Exhibit C</w:t>
      </w:r>
      <w:r w:rsidRPr="00D67557">
        <w:rPr>
          <w:rFonts w:ascii="Arial" w:hAnsi="Arial" w:cs="Arial"/>
          <w:color w:val="000000"/>
          <w:szCs w:val="27"/>
        </w:rPr>
        <w:t>.</w:t>
      </w:r>
    </w:p>
    <w:p w14:paraId="7B73E148" w14:textId="7601A996" w:rsidR="00D67557" w:rsidRPr="00D67557" w:rsidRDefault="00D67557" w:rsidP="00D67557">
      <w:pPr>
        <w:spacing w:line="480" w:lineRule="auto"/>
        <w:ind w:left="720"/>
        <w:jc w:val="both"/>
        <w:outlineLvl w:val="0"/>
        <w:rPr>
          <w:rStyle w:val="ssrfcpassagedeactivated"/>
          <w:rFonts w:cs="Arial"/>
          <w:color w:val="000000"/>
        </w:rPr>
      </w:pPr>
    </w:p>
    <w:p w14:paraId="727B1EC1" w14:textId="77777777" w:rsidR="00D67557" w:rsidRDefault="00D67557" w:rsidP="0050083B">
      <w:pPr>
        <w:spacing w:line="480" w:lineRule="auto"/>
        <w:jc w:val="both"/>
        <w:outlineLvl w:val="0"/>
        <w:rPr>
          <w:color w:val="000000"/>
        </w:rPr>
      </w:pPr>
    </w:p>
    <w:p w14:paraId="4A1FDBDF" w14:textId="18CDE222" w:rsidR="00165F72" w:rsidRPr="00707A47" w:rsidRDefault="00165F72" w:rsidP="0050083B">
      <w:pPr>
        <w:ind w:left="4320" w:firstLine="720"/>
        <w:rPr>
          <w:rFonts w:cs="Arial"/>
          <w:b/>
        </w:rPr>
      </w:pPr>
      <w:r w:rsidRPr="00707A47">
        <w:rPr>
          <w:rFonts w:cs="Arial"/>
          <w:b/>
        </w:rPr>
        <w:t xml:space="preserve">Counsel for </w:t>
      </w:r>
      <w:r w:rsidR="00033207" w:rsidRPr="00707A47">
        <w:rPr>
          <w:rFonts w:cs="Arial"/>
          <w:b/>
        </w:rPr>
        <w:t>Hisham Hamed</w:t>
      </w:r>
    </w:p>
    <w:p w14:paraId="19EEDDDB" w14:textId="7BC1DB12" w:rsidR="00033207" w:rsidRPr="00707A47" w:rsidRDefault="00033207" w:rsidP="00826D4C">
      <w:pPr>
        <w:ind w:firstLine="720"/>
        <w:rPr>
          <w:rFonts w:cs="Arial"/>
          <w:b/>
        </w:rPr>
      </w:pPr>
    </w:p>
    <w:p w14:paraId="7F7C9112" w14:textId="54E1E2EF" w:rsidR="004C3DB7" w:rsidRPr="00707A47" w:rsidRDefault="004C3DB7" w:rsidP="00826D4C">
      <w:pPr>
        <w:autoSpaceDE w:val="0"/>
        <w:autoSpaceDN w:val="0"/>
        <w:adjustRightInd w:val="0"/>
        <w:jc w:val="both"/>
        <w:outlineLvl w:val="0"/>
        <w:rPr>
          <w:rFonts w:cs="Arial"/>
          <w:color w:val="222A35" w:themeColor="text2" w:themeShade="80"/>
        </w:rPr>
      </w:pPr>
      <w:r w:rsidRPr="00707A47">
        <w:rPr>
          <w:rFonts w:cs="Arial"/>
          <w:b/>
        </w:rPr>
        <w:t>Dated</w:t>
      </w:r>
      <w:r w:rsidR="003B12E6" w:rsidRPr="00707A47">
        <w:rPr>
          <w:rFonts w:cs="Arial"/>
          <w:b/>
        </w:rPr>
        <w:t xml:space="preserve">: </w:t>
      </w:r>
      <w:r w:rsidR="00675DDC">
        <w:rPr>
          <w:rFonts w:cs="Arial"/>
          <w:bCs/>
        </w:rPr>
        <w:t xml:space="preserve">February </w:t>
      </w:r>
      <w:r w:rsidR="00202999">
        <w:rPr>
          <w:rFonts w:cs="Arial"/>
          <w:bCs/>
        </w:rPr>
        <w:t>6</w:t>
      </w:r>
      <w:r w:rsidRPr="00707A47">
        <w:rPr>
          <w:rFonts w:cs="Arial"/>
          <w:bCs/>
        </w:rPr>
        <w:t>, 202</w:t>
      </w:r>
      <w:r w:rsidR="003B12E6" w:rsidRPr="00707A47">
        <w:rPr>
          <w:rFonts w:cs="Arial"/>
          <w:bCs/>
        </w:rPr>
        <w:t>3</w:t>
      </w:r>
      <w:r w:rsidRPr="00707A47">
        <w:rPr>
          <w:rFonts w:cs="Arial"/>
          <w:bCs/>
        </w:rPr>
        <w:tab/>
      </w:r>
      <w:r w:rsidR="009C05CC" w:rsidRPr="00707A47">
        <w:rPr>
          <w:rFonts w:cs="Arial"/>
        </w:rPr>
        <w:tab/>
      </w:r>
      <w:r w:rsidR="003B12E6" w:rsidRPr="00707A47">
        <w:rPr>
          <w:rFonts w:cs="Arial"/>
        </w:rPr>
        <w:tab/>
      </w:r>
      <w:r w:rsidRPr="00707A47">
        <w:rPr>
          <w:rFonts w:cs="Arial"/>
        </w:rPr>
        <w:tab/>
      </w:r>
      <w:r w:rsidRPr="00675DDC">
        <w:rPr>
          <w:rFonts w:ascii="CarlHartmann" w:hAnsi="CarlHartmann" w:cs="Arial"/>
          <w:b/>
          <w:bCs/>
          <w:color w:val="0070C0"/>
          <w:sz w:val="72"/>
          <w:szCs w:val="72"/>
        </w:rPr>
        <w:t>A</w:t>
      </w:r>
    </w:p>
    <w:p w14:paraId="68D65433" w14:textId="0C946A47" w:rsidR="004C3DB7" w:rsidRPr="00707A47" w:rsidRDefault="004C3DB7" w:rsidP="00826D4C">
      <w:pPr>
        <w:autoSpaceDE w:val="0"/>
        <w:autoSpaceDN w:val="0"/>
        <w:adjustRightInd w:val="0"/>
        <w:jc w:val="both"/>
        <w:rPr>
          <w:rFonts w:cs="Arial"/>
          <w:b/>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b/>
        </w:rPr>
        <w:t>Carl J. Hartmann III, Esq.</w:t>
      </w:r>
      <w:r w:rsidRPr="00707A47">
        <w:rPr>
          <w:rFonts w:cs="Arial"/>
          <w:bCs/>
        </w:rPr>
        <w:t xml:space="preserve"> </w:t>
      </w:r>
      <w:r w:rsidR="0004301D" w:rsidRPr="00707A47">
        <w:rPr>
          <w:rFonts w:cs="Arial"/>
          <w:bCs/>
        </w:rPr>
        <w:t>(Bar #48)</w:t>
      </w:r>
    </w:p>
    <w:p w14:paraId="016921B1" w14:textId="4E841B27" w:rsidR="004C3DB7" w:rsidRPr="00707A47" w:rsidRDefault="004C3DB7" w:rsidP="00826D4C">
      <w:pPr>
        <w:rPr>
          <w:rFonts w:cs="Arial"/>
          <w:i/>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i/>
        </w:rPr>
        <w:t xml:space="preserve">Co-Counsel for </w:t>
      </w:r>
      <w:r w:rsidR="0004301D" w:rsidRPr="00707A47">
        <w:rPr>
          <w:rFonts w:cs="Arial"/>
          <w:i/>
        </w:rPr>
        <w:t>Hisham Hamed</w:t>
      </w:r>
    </w:p>
    <w:p w14:paraId="393E2BC3" w14:textId="3D1275D8" w:rsidR="004C3DB7" w:rsidRPr="00707A4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2940 Brookwind Dr,</w:t>
      </w:r>
    </w:p>
    <w:p w14:paraId="2121B4FB" w14:textId="083FAEAC" w:rsidR="004C3DB7" w:rsidRPr="00707A4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Holland, MI 49424</w:t>
      </w:r>
    </w:p>
    <w:p w14:paraId="2528B7A9" w14:textId="34BDDBD1" w:rsidR="004C3DB7" w:rsidRPr="00707A4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Telephone: (340) 642-4422</w:t>
      </w:r>
    </w:p>
    <w:p w14:paraId="261A83E5" w14:textId="77777777" w:rsidR="004C3DB7" w:rsidRPr="00707A47" w:rsidRDefault="004C3DB7" w:rsidP="00675DDC">
      <w:pPr>
        <w:ind w:left="4320" w:firstLine="720"/>
        <w:jc w:val="both"/>
        <w:rPr>
          <w:rFonts w:cs="Arial"/>
        </w:rPr>
      </w:pPr>
      <w:r w:rsidRPr="00707A47">
        <w:rPr>
          <w:rFonts w:cs="Arial"/>
        </w:rPr>
        <w:t>Email: carl@carlhartmann.com</w:t>
      </w:r>
    </w:p>
    <w:p w14:paraId="579E6AAA" w14:textId="736EF2BE" w:rsidR="004C3DB7" w:rsidRPr="00707A47" w:rsidRDefault="004C3DB7" w:rsidP="00826D4C">
      <w:pPr>
        <w:jc w:val="both"/>
        <w:rPr>
          <w:rFonts w:cs="Arial"/>
        </w:rPr>
      </w:pPr>
    </w:p>
    <w:p w14:paraId="74D4AEBA" w14:textId="4C2B29D8" w:rsidR="00165F72" w:rsidRPr="00707A47" w:rsidRDefault="00165F72" w:rsidP="00826D4C">
      <w:pPr>
        <w:ind w:firstLine="720"/>
        <w:jc w:val="both"/>
        <w:rPr>
          <w:rFonts w:cs="Arial"/>
          <w:bCs/>
        </w:rPr>
      </w:pPr>
      <w:r w:rsidRPr="00707A47">
        <w:rPr>
          <w:rFonts w:cs="Arial"/>
          <w:i/>
        </w:rPr>
        <w:tab/>
      </w:r>
      <w:r w:rsidRPr="00707A47">
        <w:rPr>
          <w:rFonts w:cs="Arial"/>
          <w:i/>
        </w:rPr>
        <w:tab/>
      </w:r>
      <w:r w:rsidRPr="00707A47">
        <w:rPr>
          <w:rFonts w:cs="Arial"/>
          <w:i/>
        </w:rPr>
        <w:tab/>
      </w:r>
      <w:r w:rsidR="00675DDC">
        <w:rPr>
          <w:rFonts w:cs="Arial"/>
          <w:i/>
        </w:rPr>
        <w:tab/>
      </w:r>
      <w:r w:rsidR="00675DDC">
        <w:rPr>
          <w:rFonts w:cs="Arial"/>
          <w:i/>
        </w:rPr>
        <w:tab/>
      </w:r>
      <w:r w:rsidR="00675DDC">
        <w:rPr>
          <w:rFonts w:cs="Arial"/>
          <w:i/>
        </w:rPr>
        <w:tab/>
      </w:r>
      <w:r w:rsidRPr="00707A47">
        <w:rPr>
          <w:rFonts w:cs="Arial"/>
          <w:b/>
        </w:rPr>
        <w:t>Joel H. Holt, Esq. (</w:t>
      </w:r>
      <w:r w:rsidRPr="00707A47">
        <w:rPr>
          <w:rFonts w:cs="Arial"/>
          <w:bCs/>
        </w:rPr>
        <w:t>Bar # 6)</w:t>
      </w:r>
    </w:p>
    <w:p w14:paraId="01212556" w14:textId="404B2C3A" w:rsidR="0004301D" w:rsidRPr="00707A47" w:rsidRDefault="0004301D" w:rsidP="00826D4C">
      <w:pPr>
        <w:ind w:firstLine="720"/>
        <w:jc w:val="both"/>
        <w:rPr>
          <w:rFonts w:cs="Arial"/>
          <w:bCs/>
          <w:i/>
          <w:iCs/>
        </w:rPr>
      </w:pPr>
      <w:r w:rsidRPr="00707A47">
        <w:rPr>
          <w:rFonts w:cs="Arial"/>
          <w:b/>
        </w:rPr>
        <w:tab/>
      </w:r>
      <w:r w:rsidRPr="00707A47">
        <w:rPr>
          <w:rFonts w:cs="Arial"/>
          <w:b/>
        </w:rPr>
        <w:tab/>
      </w:r>
      <w:r w:rsidRPr="00707A47">
        <w:rPr>
          <w:rFonts w:cs="Arial"/>
          <w:b/>
        </w:rPr>
        <w:tab/>
      </w:r>
      <w:r w:rsidR="00675DDC">
        <w:rPr>
          <w:rFonts w:cs="Arial"/>
          <w:b/>
        </w:rPr>
        <w:tab/>
      </w:r>
      <w:r w:rsidR="00675DDC">
        <w:rPr>
          <w:rFonts w:cs="Arial"/>
          <w:b/>
        </w:rPr>
        <w:tab/>
      </w:r>
      <w:r w:rsidR="00675DDC">
        <w:rPr>
          <w:rFonts w:cs="Arial"/>
          <w:b/>
        </w:rPr>
        <w:tab/>
      </w:r>
      <w:r w:rsidRPr="00707A47">
        <w:rPr>
          <w:rFonts w:cs="Arial"/>
          <w:bCs/>
          <w:i/>
          <w:iCs/>
        </w:rPr>
        <w:t>Counsel for Hisham Hamed</w:t>
      </w:r>
    </w:p>
    <w:p w14:paraId="1E401639" w14:textId="3745FF86"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00DC6A24" w:rsidRPr="00707A47">
        <w:rPr>
          <w:rFonts w:cs="Arial"/>
        </w:rPr>
        <w:t>LAW OFFICES OF JOEL H. HOLT</w:t>
      </w:r>
    </w:p>
    <w:p w14:paraId="1BA15DE7"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2132 Company Street,</w:t>
      </w:r>
    </w:p>
    <w:p w14:paraId="189C2E8D"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Christiansted, Vl 00820</w:t>
      </w:r>
    </w:p>
    <w:p w14:paraId="3AB2A393"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Email: holtvi@aol.com</w:t>
      </w:r>
    </w:p>
    <w:p w14:paraId="723A1BC3"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 xml:space="preserve">Phone: (340) 773-8709/ </w:t>
      </w:r>
    </w:p>
    <w:p w14:paraId="7E5117C6" w14:textId="3137ADF5" w:rsidR="0004301D" w:rsidRPr="00707A47" w:rsidRDefault="00165F72" w:rsidP="00675DDC">
      <w:pPr>
        <w:ind w:left="4320" w:firstLine="720"/>
        <w:rPr>
          <w:rFonts w:cs="Arial"/>
        </w:rPr>
      </w:pPr>
      <w:r w:rsidRPr="00707A47">
        <w:rPr>
          <w:rFonts w:cs="Arial"/>
        </w:rPr>
        <w:t>Fax: (340) 773-8677</w:t>
      </w:r>
      <w:r w:rsidR="0004301D" w:rsidRPr="00707A47">
        <w:rPr>
          <w:rFonts w:cs="Arial"/>
        </w:rPr>
        <w:br w:type="page"/>
      </w:r>
    </w:p>
    <w:p w14:paraId="7E109977" w14:textId="77777777" w:rsidR="000C40D7" w:rsidRPr="00707A47" w:rsidRDefault="000C40D7" w:rsidP="00826D4C">
      <w:pPr>
        <w:pStyle w:val="Heading4"/>
        <w:spacing w:before="118"/>
        <w:jc w:val="center"/>
        <w:rPr>
          <w:rFonts w:ascii="Arial" w:hAnsi="Arial" w:cs="Arial"/>
          <w:b/>
          <w:bCs/>
          <w:i w:val="0"/>
          <w:iCs w:val="0"/>
          <w:color w:val="000000" w:themeColor="text1"/>
          <w:spacing w:val="-2"/>
          <w:w w:val="95"/>
          <w:sz w:val="24"/>
          <w:szCs w:val="24"/>
        </w:rPr>
      </w:pPr>
      <w:r w:rsidRPr="00707A47">
        <w:rPr>
          <w:rFonts w:ascii="Arial" w:hAnsi="Arial" w:cs="Arial"/>
          <w:b/>
          <w:bCs/>
          <w:i w:val="0"/>
          <w:iCs w:val="0"/>
          <w:color w:val="000000" w:themeColor="text1"/>
          <w:w w:val="95"/>
          <w:sz w:val="24"/>
          <w:szCs w:val="24"/>
        </w:rPr>
        <w:lastRenderedPageBreak/>
        <w:t>CERTIFICATE</w:t>
      </w:r>
      <w:r w:rsidRPr="00707A47">
        <w:rPr>
          <w:rFonts w:ascii="Arial" w:hAnsi="Arial" w:cs="Arial"/>
          <w:b/>
          <w:bCs/>
          <w:i w:val="0"/>
          <w:iCs w:val="0"/>
          <w:color w:val="000000" w:themeColor="text1"/>
          <w:spacing w:val="4"/>
          <w:sz w:val="24"/>
          <w:szCs w:val="24"/>
        </w:rPr>
        <w:t xml:space="preserve"> </w:t>
      </w:r>
      <w:r w:rsidRPr="00707A47">
        <w:rPr>
          <w:rFonts w:ascii="Arial" w:hAnsi="Arial" w:cs="Arial"/>
          <w:b/>
          <w:bCs/>
          <w:i w:val="0"/>
          <w:iCs w:val="0"/>
          <w:color w:val="000000" w:themeColor="text1"/>
          <w:w w:val="95"/>
          <w:sz w:val="24"/>
          <w:szCs w:val="24"/>
        </w:rPr>
        <w:t>OF</w:t>
      </w:r>
      <w:r w:rsidRPr="00707A47">
        <w:rPr>
          <w:rFonts w:ascii="Arial" w:hAnsi="Arial" w:cs="Arial"/>
          <w:b/>
          <w:bCs/>
          <w:i w:val="0"/>
          <w:iCs w:val="0"/>
          <w:color w:val="000000" w:themeColor="text1"/>
          <w:spacing w:val="15"/>
          <w:sz w:val="24"/>
          <w:szCs w:val="24"/>
        </w:rPr>
        <w:t xml:space="preserve"> </w:t>
      </w:r>
      <w:r w:rsidRPr="00707A47">
        <w:rPr>
          <w:rFonts w:ascii="Arial" w:hAnsi="Arial" w:cs="Arial"/>
          <w:b/>
          <w:bCs/>
          <w:i w:val="0"/>
          <w:iCs w:val="0"/>
          <w:color w:val="000000" w:themeColor="text1"/>
          <w:spacing w:val="-2"/>
          <w:w w:val="95"/>
          <w:sz w:val="24"/>
          <w:szCs w:val="24"/>
        </w:rPr>
        <w:t>SERVICE</w:t>
      </w:r>
    </w:p>
    <w:p w14:paraId="5DDC65F0" w14:textId="77777777" w:rsidR="000C40D7" w:rsidRPr="00707A47" w:rsidRDefault="000C40D7" w:rsidP="00826D4C">
      <w:pPr>
        <w:ind w:firstLine="720"/>
        <w:jc w:val="both"/>
        <w:outlineLvl w:val="0"/>
        <w:rPr>
          <w:rFonts w:cs="Arial"/>
          <w:color w:val="000000" w:themeColor="text1"/>
          <w:position w:val="1"/>
        </w:rPr>
      </w:pPr>
    </w:p>
    <w:p w14:paraId="6B3F7DD4" w14:textId="3D4733CA" w:rsidR="000C40D7" w:rsidRPr="00707A47" w:rsidRDefault="000C40D7" w:rsidP="00826D4C">
      <w:pPr>
        <w:spacing w:line="480" w:lineRule="auto"/>
        <w:ind w:firstLine="720"/>
        <w:jc w:val="both"/>
        <w:outlineLvl w:val="0"/>
        <w:rPr>
          <w:rFonts w:cs="Arial"/>
          <w:color w:val="000000" w:themeColor="text1"/>
        </w:rPr>
      </w:pPr>
      <w:r w:rsidRPr="00707A47">
        <w:rPr>
          <w:rFonts w:cs="Arial"/>
          <w:color w:val="000000" w:themeColor="text1"/>
          <w:position w:val="1"/>
        </w:rPr>
        <w:t xml:space="preserve">I </w:t>
      </w:r>
      <w:r w:rsidRPr="00707A47">
        <w:rPr>
          <w:rFonts w:cs="Arial"/>
          <w:color w:val="000000" w:themeColor="text1"/>
        </w:rPr>
        <w:t>hereby</w:t>
      </w:r>
      <w:r w:rsidRPr="00707A47">
        <w:rPr>
          <w:rFonts w:cs="Arial"/>
          <w:color w:val="000000" w:themeColor="text1"/>
          <w:spacing w:val="-8"/>
        </w:rPr>
        <w:t xml:space="preserve"> </w:t>
      </w:r>
      <w:r w:rsidRPr="00707A47">
        <w:rPr>
          <w:rFonts w:cs="Arial"/>
          <w:color w:val="000000" w:themeColor="text1"/>
        </w:rPr>
        <w:t>certify</w:t>
      </w:r>
      <w:r w:rsidRPr="00707A47">
        <w:rPr>
          <w:rFonts w:cs="Arial"/>
          <w:color w:val="000000" w:themeColor="text1"/>
          <w:spacing w:val="-8"/>
        </w:rPr>
        <w:t xml:space="preserve"> </w:t>
      </w:r>
      <w:r w:rsidRPr="00707A47">
        <w:rPr>
          <w:rFonts w:cs="Arial"/>
          <w:color w:val="000000" w:themeColor="text1"/>
        </w:rPr>
        <w:t>that</w:t>
      </w:r>
      <w:r w:rsidR="00A61AA6" w:rsidRPr="00707A47">
        <w:rPr>
          <w:rFonts w:cs="Arial"/>
          <w:color w:val="000000" w:themeColor="text1"/>
        </w:rPr>
        <w:t xml:space="preserve">, discounting captions, headings, signatures, quotations </w:t>
      </w:r>
      <w:r w:rsidR="002D4A01" w:rsidRPr="00707A47">
        <w:rPr>
          <w:rFonts w:cs="Arial"/>
          <w:color w:val="000000" w:themeColor="text1"/>
        </w:rPr>
        <w:t>from</w:t>
      </w:r>
      <w:r w:rsidR="00A61AA6" w:rsidRPr="00707A47">
        <w:rPr>
          <w:rFonts w:cs="Arial"/>
          <w:color w:val="000000" w:themeColor="text1"/>
        </w:rPr>
        <w:t xml:space="preserve"> authority and recitation of the opposing party’s own text, </w:t>
      </w:r>
      <w:r w:rsidRPr="00707A47">
        <w:rPr>
          <w:rFonts w:cs="Arial"/>
          <w:color w:val="000000" w:themeColor="text1"/>
        </w:rPr>
        <w:t>this</w:t>
      </w:r>
      <w:r w:rsidRPr="00707A47">
        <w:rPr>
          <w:rFonts w:cs="Arial"/>
          <w:color w:val="000000" w:themeColor="text1"/>
          <w:spacing w:val="-8"/>
        </w:rPr>
        <w:t xml:space="preserve"> </w:t>
      </w:r>
      <w:r w:rsidRPr="00707A47">
        <w:rPr>
          <w:rFonts w:cs="Arial"/>
          <w:color w:val="000000" w:themeColor="text1"/>
        </w:rPr>
        <w:t>document</w:t>
      </w:r>
      <w:r w:rsidRPr="00707A47">
        <w:rPr>
          <w:rFonts w:cs="Arial"/>
          <w:color w:val="000000" w:themeColor="text1"/>
          <w:spacing w:val="-8"/>
        </w:rPr>
        <w:t xml:space="preserve"> </w:t>
      </w:r>
      <w:r w:rsidRPr="00707A47">
        <w:rPr>
          <w:rFonts w:cs="Arial"/>
          <w:color w:val="000000" w:themeColor="text1"/>
        </w:rPr>
        <w:t>complies</w:t>
      </w:r>
      <w:r w:rsidRPr="00707A47">
        <w:rPr>
          <w:rFonts w:cs="Arial"/>
          <w:color w:val="000000" w:themeColor="text1"/>
          <w:spacing w:val="-8"/>
        </w:rPr>
        <w:t xml:space="preserve"> </w:t>
      </w:r>
      <w:r w:rsidRPr="00707A47">
        <w:rPr>
          <w:rFonts w:cs="Arial"/>
          <w:color w:val="000000" w:themeColor="text1"/>
        </w:rPr>
        <w:t>with</w:t>
      </w:r>
      <w:r w:rsidRPr="00707A47">
        <w:rPr>
          <w:rFonts w:cs="Arial"/>
          <w:color w:val="000000" w:themeColor="text1"/>
          <w:spacing w:val="-6"/>
        </w:rPr>
        <w:t xml:space="preserve"> </w:t>
      </w:r>
      <w:r w:rsidRPr="00707A47">
        <w:rPr>
          <w:rFonts w:cs="Arial"/>
          <w:color w:val="000000" w:themeColor="text1"/>
        </w:rPr>
        <w:t>the</w:t>
      </w:r>
      <w:r w:rsidRPr="00707A47">
        <w:rPr>
          <w:rFonts w:cs="Arial"/>
          <w:color w:val="000000" w:themeColor="text1"/>
          <w:spacing w:val="-5"/>
        </w:rPr>
        <w:t xml:space="preserve"> </w:t>
      </w:r>
      <w:r w:rsidRPr="00707A47">
        <w:rPr>
          <w:rFonts w:cs="Arial"/>
          <w:color w:val="000000" w:themeColor="text1"/>
        </w:rPr>
        <w:t>page</w:t>
      </w:r>
      <w:r w:rsidRPr="00707A47">
        <w:rPr>
          <w:rFonts w:cs="Arial"/>
          <w:color w:val="000000" w:themeColor="text1"/>
          <w:spacing w:val="-3"/>
        </w:rPr>
        <w:t xml:space="preserve"> </w:t>
      </w:r>
      <w:r w:rsidRPr="00707A47">
        <w:rPr>
          <w:rFonts w:cs="Arial"/>
          <w:color w:val="000000" w:themeColor="text1"/>
        </w:rPr>
        <w:t>and</w:t>
      </w:r>
      <w:r w:rsidRPr="00707A47">
        <w:rPr>
          <w:rFonts w:cs="Arial"/>
          <w:color w:val="000000" w:themeColor="text1"/>
          <w:spacing w:val="-7"/>
        </w:rPr>
        <w:t xml:space="preserve"> </w:t>
      </w:r>
      <w:r w:rsidRPr="00707A47">
        <w:rPr>
          <w:rFonts w:cs="Arial"/>
          <w:color w:val="000000" w:themeColor="text1"/>
        </w:rPr>
        <w:t>word</w:t>
      </w:r>
      <w:r w:rsidRPr="00707A47">
        <w:rPr>
          <w:rFonts w:cs="Arial"/>
          <w:color w:val="000000" w:themeColor="text1"/>
          <w:spacing w:val="-3"/>
        </w:rPr>
        <w:t xml:space="preserve"> </w:t>
      </w:r>
      <w:r w:rsidRPr="00707A47">
        <w:rPr>
          <w:rFonts w:cs="Arial"/>
          <w:color w:val="000000" w:themeColor="text1"/>
        </w:rPr>
        <w:t xml:space="preserve">limitations set forth in Rule 6-1(e) and that on </w:t>
      </w:r>
      <w:r w:rsidR="00675DDC">
        <w:rPr>
          <w:rFonts w:cs="Arial"/>
          <w:b/>
          <w:bCs/>
          <w:color w:val="000000" w:themeColor="text1"/>
        </w:rPr>
        <w:t>February</w:t>
      </w:r>
      <w:r w:rsidR="003B12E6" w:rsidRPr="00707A47">
        <w:rPr>
          <w:rFonts w:cs="Arial"/>
          <w:b/>
          <w:bCs/>
          <w:color w:val="000000" w:themeColor="text1"/>
        </w:rPr>
        <w:t xml:space="preserve"> </w:t>
      </w:r>
      <w:r w:rsidR="00202999">
        <w:rPr>
          <w:rFonts w:cs="Arial"/>
          <w:b/>
          <w:bCs/>
          <w:color w:val="000000" w:themeColor="text1"/>
        </w:rPr>
        <w:t>6</w:t>
      </w:r>
      <w:r w:rsidRPr="00707A47">
        <w:rPr>
          <w:rFonts w:cs="Arial"/>
          <w:b/>
          <w:bCs/>
          <w:color w:val="000000" w:themeColor="text1"/>
        </w:rPr>
        <w:t>, 202</w:t>
      </w:r>
      <w:r w:rsidR="00675DDC">
        <w:rPr>
          <w:rFonts w:cs="Arial"/>
          <w:b/>
          <w:bCs/>
          <w:color w:val="000000" w:themeColor="text1"/>
        </w:rPr>
        <w:t>3</w:t>
      </w:r>
      <w:r w:rsidRPr="00707A47">
        <w:rPr>
          <w:rFonts w:cs="Arial"/>
          <w:color w:val="000000" w:themeColor="text1"/>
        </w:rPr>
        <w:t xml:space="preserve"> I served a copy of the foregoing by </w:t>
      </w:r>
      <w:r w:rsidR="0004301D" w:rsidRPr="00707A47">
        <w:rPr>
          <w:rFonts w:cs="Arial"/>
          <w:color w:val="000000" w:themeColor="text1"/>
        </w:rPr>
        <w:t xml:space="preserve">email and </w:t>
      </w:r>
      <w:r w:rsidRPr="00707A47">
        <w:rPr>
          <w:rFonts w:cs="Arial"/>
          <w:color w:val="000000" w:themeColor="text1"/>
        </w:rPr>
        <w:t>the Court’s E-File system, as agreed by the parties</w:t>
      </w:r>
      <w:r w:rsidR="0004301D" w:rsidRPr="00707A47">
        <w:rPr>
          <w:rFonts w:cs="Arial"/>
          <w:color w:val="000000" w:themeColor="text1"/>
        </w:rPr>
        <w:t>, to:</w:t>
      </w:r>
    </w:p>
    <w:p w14:paraId="257A9643" w14:textId="77777777" w:rsidR="00165F72" w:rsidRPr="00707A47" w:rsidRDefault="00165F72" w:rsidP="00826D4C">
      <w:pPr>
        <w:jc w:val="both"/>
        <w:outlineLvl w:val="0"/>
        <w:rPr>
          <w:rFonts w:cs="Arial"/>
          <w:w w:val="105"/>
        </w:rPr>
      </w:pPr>
      <w:r w:rsidRPr="00707A47">
        <w:rPr>
          <w:rFonts w:cs="Arial"/>
          <w:b/>
          <w:bCs/>
          <w:w w:val="105"/>
        </w:rPr>
        <w:t xml:space="preserve">James Hymes </w:t>
      </w:r>
      <w:r w:rsidRPr="00707A47">
        <w:rPr>
          <w:rFonts w:cs="Arial"/>
          <w:b/>
          <w:w w:val="105"/>
        </w:rPr>
        <w:t>III</w:t>
      </w:r>
      <w:r w:rsidRPr="00707A47">
        <w:rPr>
          <w:rFonts w:cs="Arial"/>
          <w:w w:val="105"/>
        </w:rPr>
        <w:t xml:space="preserve">, </w:t>
      </w:r>
      <w:r w:rsidRPr="00707A47">
        <w:rPr>
          <w:rFonts w:cs="Arial"/>
          <w:b/>
          <w:w w:val="105"/>
        </w:rPr>
        <w:t>Esq.</w:t>
      </w:r>
    </w:p>
    <w:p w14:paraId="6AE348DA" w14:textId="4CA8EB5A" w:rsidR="00165F72" w:rsidRPr="00707A47" w:rsidRDefault="00165F72" w:rsidP="00826D4C">
      <w:pPr>
        <w:kinsoku w:val="0"/>
        <w:overflowPunct w:val="0"/>
        <w:adjustRightInd w:val="0"/>
        <w:jc w:val="both"/>
        <w:outlineLvl w:val="0"/>
        <w:rPr>
          <w:rFonts w:cs="Arial"/>
          <w:i/>
          <w:iCs/>
          <w:w w:val="105"/>
        </w:rPr>
      </w:pPr>
      <w:r w:rsidRPr="00707A47">
        <w:rPr>
          <w:rFonts w:cs="Arial"/>
          <w:i/>
          <w:iCs/>
          <w:w w:val="105"/>
        </w:rPr>
        <w:t xml:space="preserve">Counsel for </w:t>
      </w:r>
      <w:r w:rsidR="000C40D7" w:rsidRPr="00707A47">
        <w:rPr>
          <w:rFonts w:cs="Arial"/>
          <w:i/>
          <w:iCs/>
          <w:w w:val="105"/>
        </w:rPr>
        <w:t xml:space="preserve">Defendants </w:t>
      </w:r>
      <w:r w:rsidRPr="00707A47">
        <w:rPr>
          <w:rFonts w:cs="Arial"/>
          <w:i/>
          <w:iCs/>
          <w:w w:val="105"/>
        </w:rPr>
        <w:t>Isam and Jamil Yous</w:t>
      </w:r>
      <w:r w:rsidR="00033207" w:rsidRPr="00707A47">
        <w:rPr>
          <w:rFonts w:cs="Arial"/>
          <w:i/>
          <w:iCs/>
          <w:w w:val="105"/>
        </w:rPr>
        <w:t>u</w:t>
      </w:r>
      <w:r w:rsidRPr="00707A47">
        <w:rPr>
          <w:rFonts w:cs="Arial"/>
          <w:i/>
          <w:iCs/>
          <w:w w:val="105"/>
        </w:rPr>
        <w:t>f</w:t>
      </w:r>
    </w:p>
    <w:p w14:paraId="56A9DE1F" w14:textId="77777777" w:rsidR="00033207" w:rsidRPr="00707A47" w:rsidRDefault="00165F72" w:rsidP="00826D4C">
      <w:pPr>
        <w:adjustRightInd w:val="0"/>
        <w:jc w:val="both"/>
        <w:outlineLvl w:val="0"/>
        <w:rPr>
          <w:rFonts w:cs="Arial"/>
        </w:rPr>
      </w:pPr>
      <w:r w:rsidRPr="00707A47">
        <w:rPr>
          <w:rFonts w:cs="Arial"/>
        </w:rPr>
        <w:t xml:space="preserve">LAW OFFICES OF JAMES L. </w:t>
      </w:r>
    </w:p>
    <w:p w14:paraId="2C6EBC19" w14:textId="3222BE57" w:rsidR="00165F72" w:rsidRPr="00707A47" w:rsidRDefault="003065FE" w:rsidP="00826D4C">
      <w:pPr>
        <w:adjustRightInd w:val="0"/>
        <w:jc w:val="both"/>
        <w:outlineLvl w:val="0"/>
        <w:rPr>
          <w:rFonts w:cs="Arial"/>
        </w:rPr>
      </w:pPr>
      <w:r w:rsidRPr="00707A47">
        <w:rPr>
          <w:rFonts w:cs="Arial"/>
        </w:rPr>
        <w:t xml:space="preserve">  </w:t>
      </w:r>
      <w:r w:rsidR="00165F72" w:rsidRPr="00707A47">
        <w:rPr>
          <w:rFonts w:cs="Arial"/>
        </w:rPr>
        <w:t>HYMES, III, P.C.</w:t>
      </w:r>
    </w:p>
    <w:p w14:paraId="2F32C9F3" w14:textId="77777777" w:rsidR="00165F72" w:rsidRPr="00707A47" w:rsidRDefault="00165F72" w:rsidP="00826D4C">
      <w:pPr>
        <w:adjustRightInd w:val="0"/>
        <w:jc w:val="both"/>
        <w:outlineLvl w:val="0"/>
        <w:rPr>
          <w:rFonts w:cs="Arial"/>
        </w:rPr>
      </w:pPr>
      <w:r w:rsidRPr="00707A47">
        <w:rPr>
          <w:rFonts w:cs="Arial"/>
        </w:rPr>
        <w:t>P.O. Box 990</w:t>
      </w:r>
    </w:p>
    <w:p w14:paraId="4A7A31F7" w14:textId="77777777" w:rsidR="00165F72" w:rsidRPr="00707A47" w:rsidRDefault="00165F72" w:rsidP="00826D4C">
      <w:pPr>
        <w:adjustRightInd w:val="0"/>
        <w:jc w:val="both"/>
        <w:outlineLvl w:val="0"/>
        <w:rPr>
          <w:rFonts w:cs="Arial"/>
        </w:rPr>
      </w:pPr>
      <w:r w:rsidRPr="00707A47">
        <w:rPr>
          <w:rFonts w:cs="Arial"/>
        </w:rPr>
        <w:t>St. Thomas, VI 00804-0990</w:t>
      </w:r>
    </w:p>
    <w:p w14:paraId="4CDB9D88" w14:textId="77777777" w:rsidR="00165F72" w:rsidRPr="00707A47" w:rsidRDefault="00165F72" w:rsidP="00826D4C">
      <w:pPr>
        <w:adjustRightInd w:val="0"/>
        <w:jc w:val="both"/>
        <w:outlineLvl w:val="0"/>
        <w:rPr>
          <w:rFonts w:cs="Arial"/>
        </w:rPr>
      </w:pPr>
      <w:r w:rsidRPr="00707A47">
        <w:rPr>
          <w:rFonts w:cs="Arial"/>
        </w:rPr>
        <w:t>Tel: (340) 776-3470</w:t>
      </w:r>
    </w:p>
    <w:p w14:paraId="20374B37" w14:textId="77777777" w:rsidR="00165F72" w:rsidRPr="00707A47" w:rsidRDefault="00165F72" w:rsidP="00826D4C">
      <w:pPr>
        <w:adjustRightInd w:val="0"/>
        <w:jc w:val="both"/>
        <w:outlineLvl w:val="0"/>
        <w:rPr>
          <w:rFonts w:cs="Arial"/>
        </w:rPr>
      </w:pPr>
      <w:r w:rsidRPr="00707A47">
        <w:rPr>
          <w:rFonts w:cs="Arial"/>
        </w:rPr>
        <w:t>Fax: (340) 775-3300</w:t>
      </w:r>
    </w:p>
    <w:p w14:paraId="044D4A89" w14:textId="1C819605" w:rsidR="00165F72" w:rsidRPr="00707A47" w:rsidRDefault="00B370E9" w:rsidP="00826D4C">
      <w:pPr>
        <w:jc w:val="both"/>
        <w:outlineLvl w:val="0"/>
        <w:rPr>
          <w:rFonts w:cs="Arial"/>
          <w:lang w:val="fr-FR"/>
        </w:rPr>
      </w:pPr>
      <w:r w:rsidRPr="00707A47">
        <w:rPr>
          <w:rFonts w:cs="Arial"/>
          <w:lang w:val="fr-FR"/>
        </w:rPr>
        <w:t>jim@hymeslawvi.com</w:t>
      </w:r>
    </w:p>
    <w:p w14:paraId="24311D2C" w14:textId="0759B949" w:rsidR="00165F72" w:rsidRPr="00707A47" w:rsidRDefault="00165F72" w:rsidP="00826D4C">
      <w:pPr>
        <w:kinsoku w:val="0"/>
        <w:overflowPunct w:val="0"/>
        <w:adjustRightInd w:val="0"/>
        <w:jc w:val="both"/>
        <w:outlineLvl w:val="0"/>
        <w:rPr>
          <w:rFonts w:cs="Arial"/>
          <w:color w:val="313131"/>
          <w:w w:val="105"/>
        </w:rPr>
      </w:pPr>
    </w:p>
    <w:p w14:paraId="21B69C73" w14:textId="37507F94" w:rsidR="00165F72" w:rsidRPr="00707A47" w:rsidRDefault="00165F72" w:rsidP="00826D4C">
      <w:pPr>
        <w:kinsoku w:val="0"/>
        <w:overflowPunct w:val="0"/>
        <w:adjustRightInd w:val="0"/>
        <w:jc w:val="both"/>
        <w:outlineLvl w:val="0"/>
        <w:rPr>
          <w:rFonts w:cs="Arial"/>
          <w:b/>
          <w:w w:val="105"/>
        </w:rPr>
      </w:pPr>
      <w:r w:rsidRPr="00707A47">
        <w:rPr>
          <w:rFonts w:cs="Arial"/>
          <w:b/>
          <w:w w:val="105"/>
        </w:rPr>
        <w:t xml:space="preserve">Charlotte </w:t>
      </w:r>
      <w:r w:rsidR="008B717C" w:rsidRPr="00707A47">
        <w:rPr>
          <w:rFonts w:cs="Arial"/>
          <w:b/>
          <w:w w:val="105"/>
        </w:rPr>
        <w:t xml:space="preserve">K. </w:t>
      </w:r>
      <w:r w:rsidRPr="00707A47">
        <w:rPr>
          <w:rFonts w:cs="Arial"/>
          <w:b/>
          <w:w w:val="105"/>
        </w:rPr>
        <w:t>Perrell, Esq.</w:t>
      </w:r>
    </w:p>
    <w:p w14:paraId="759CB5A0" w14:textId="5D4F54CE" w:rsidR="00165F72" w:rsidRPr="00707A47" w:rsidRDefault="00165F72" w:rsidP="00826D4C">
      <w:pPr>
        <w:kinsoku w:val="0"/>
        <w:overflowPunct w:val="0"/>
        <w:adjustRightInd w:val="0"/>
        <w:jc w:val="both"/>
        <w:outlineLvl w:val="0"/>
        <w:rPr>
          <w:rFonts w:cs="Arial"/>
          <w:b/>
          <w:w w:val="105"/>
        </w:rPr>
      </w:pPr>
      <w:r w:rsidRPr="00707A47">
        <w:rPr>
          <w:rFonts w:cs="Arial"/>
          <w:b/>
          <w:w w:val="105"/>
        </w:rPr>
        <w:t xml:space="preserve">Stefan </w:t>
      </w:r>
      <w:r w:rsidR="008B717C" w:rsidRPr="00707A47">
        <w:rPr>
          <w:rFonts w:cs="Arial"/>
          <w:b/>
          <w:w w:val="105"/>
        </w:rPr>
        <w:t xml:space="preserve">B. </w:t>
      </w:r>
      <w:r w:rsidRPr="00707A47">
        <w:rPr>
          <w:rFonts w:cs="Arial"/>
          <w:b/>
          <w:w w:val="105"/>
        </w:rPr>
        <w:t>Herpel, Esq.</w:t>
      </w:r>
    </w:p>
    <w:p w14:paraId="07BA0993" w14:textId="3474FC88" w:rsidR="00165F72" w:rsidRPr="00707A47" w:rsidRDefault="00DC6A24" w:rsidP="00826D4C">
      <w:pPr>
        <w:kinsoku w:val="0"/>
        <w:overflowPunct w:val="0"/>
        <w:adjustRightInd w:val="0"/>
        <w:jc w:val="both"/>
        <w:outlineLvl w:val="0"/>
        <w:rPr>
          <w:rFonts w:cs="Arial"/>
          <w:i/>
          <w:w w:val="105"/>
        </w:rPr>
      </w:pPr>
      <w:r w:rsidRPr="00707A47">
        <w:rPr>
          <w:rFonts w:cs="Arial"/>
          <w:i/>
          <w:w w:val="105"/>
        </w:rPr>
        <w:t>Counsel</w:t>
      </w:r>
      <w:r w:rsidR="00165F72" w:rsidRPr="00707A47">
        <w:rPr>
          <w:rFonts w:cs="Arial"/>
          <w:i/>
          <w:w w:val="105"/>
        </w:rPr>
        <w:t xml:space="preserve"> for</w:t>
      </w:r>
      <w:r w:rsidR="00033207" w:rsidRPr="00707A47">
        <w:rPr>
          <w:rFonts w:cs="Arial"/>
          <w:i/>
          <w:w w:val="105"/>
        </w:rPr>
        <w:t xml:space="preserve"> Defenda</w:t>
      </w:r>
      <w:r w:rsidRPr="00707A47">
        <w:rPr>
          <w:rFonts w:cs="Arial"/>
          <w:i/>
          <w:w w:val="105"/>
        </w:rPr>
        <w:t>n</w:t>
      </w:r>
      <w:r w:rsidR="00033207" w:rsidRPr="00707A47">
        <w:rPr>
          <w:rFonts w:cs="Arial"/>
          <w:i/>
          <w:w w:val="105"/>
        </w:rPr>
        <w:t>t</w:t>
      </w:r>
      <w:r w:rsidR="00165F72" w:rsidRPr="00707A47">
        <w:rPr>
          <w:rFonts w:cs="Arial"/>
          <w:i/>
          <w:w w:val="105"/>
        </w:rPr>
        <w:t xml:space="preserve"> Fathi Yusuf</w:t>
      </w:r>
    </w:p>
    <w:p w14:paraId="2065DD6A" w14:textId="77777777" w:rsidR="00033207" w:rsidRPr="00707A47" w:rsidRDefault="00165F72" w:rsidP="00826D4C">
      <w:pPr>
        <w:adjustRightInd w:val="0"/>
        <w:jc w:val="both"/>
        <w:outlineLvl w:val="0"/>
        <w:rPr>
          <w:rFonts w:cs="Arial"/>
          <w:color w:val="212121"/>
        </w:rPr>
      </w:pPr>
      <w:r w:rsidRPr="00707A47">
        <w:rPr>
          <w:rFonts w:cs="Arial"/>
          <w:color w:val="212121"/>
        </w:rPr>
        <w:t xml:space="preserve">DUDLEY NEWMAN </w:t>
      </w:r>
    </w:p>
    <w:p w14:paraId="070E12FD" w14:textId="6902809D" w:rsidR="00165F72" w:rsidRPr="00707A47" w:rsidRDefault="003065FE" w:rsidP="00826D4C">
      <w:pPr>
        <w:adjustRightInd w:val="0"/>
        <w:jc w:val="both"/>
        <w:outlineLvl w:val="0"/>
        <w:rPr>
          <w:rFonts w:cs="Arial"/>
          <w:color w:val="212121"/>
        </w:rPr>
      </w:pPr>
      <w:r w:rsidRPr="00707A47">
        <w:rPr>
          <w:rFonts w:cs="Arial"/>
          <w:color w:val="212121"/>
        </w:rPr>
        <w:t xml:space="preserve">  </w:t>
      </w:r>
      <w:r w:rsidR="00165F72" w:rsidRPr="00707A47">
        <w:rPr>
          <w:rFonts w:cs="Arial"/>
          <w:color w:val="212121"/>
        </w:rPr>
        <w:t>FEUERZEIG LLP</w:t>
      </w:r>
    </w:p>
    <w:p w14:paraId="3A0F75F9" w14:textId="77777777" w:rsidR="00033207" w:rsidRPr="00707A47" w:rsidRDefault="00165F72" w:rsidP="00826D4C">
      <w:pPr>
        <w:adjustRightInd w:val="0"/>
        <w:jc w:val="both"/>
        <w:outlineLvl w:val="0"/>
        <w:rPr>
          <w:rFonts w:cs="Arial"/>
          <w:color w:val="212121"/>
        </w:rPr>
      </w:pPr>
      <w:r w:rsidRPr="00707A47">
        <w:rPr>
          <w:rFonts w:cs="Arial"/>
          <w:color w:val="212121"/>
        </w:rPr>
        <w:t xml:space="preserve">Law House </w:t>
      </w:r>
    </w:p>
    <w:p w14:paraId="41FB2B6F" w14:textId="703EF37A" w:rsidR="00165F72" w:rsidRPr="00707A47" w:rsidRDefault="00165F72" w:rsidP="00826D4C">
      <w:pPr>
        <w:adjustRightInd w:val="0"/>
        <w:jc w:val="both"/>
        <w:outlineLvl w:val="0"/>
        <w:rPr>
          <w:rFonts w:cs="Arial"/>
          <w:color w:val="212121"/>
        </w:rPr>
      </w:pPr>
      <w:proofErr w:type="gramStart"/>
      <w:r w:rsidRPr="00707A47">
        <w:rPr>
          <w:rFonts w:cs="Arial"/>
          <w:color w:val="212121"/>
        </w:rPr>
        <w:t>1000</w:t>
      </w:r>
      <w:proofErr w:type="gramEnd"/>
      <w:r w:rsidRPr="00707A47">
        <w:rPr>
          <w:rFonts w:cs="Arial"/>
          <w:color w:val="212121"/>
        </w:rPr>
        <w:t xml:space="preserve"> Frederiksberg Gade</w:t>
      </w:r>
    </w:p>
    <w:p w14:paraId="5BBE0BA7" w14:textId="77777777" w:rsidR="00165F72" w:rsidRPr="00707A47" w:rsidRDefault="00165F72" w:rsidP="00826D4C">
      <w:pPr>
        <w:adjustRightInd w:val="0"/>
        <w:jc w:val="both"/>
        <w:outlineLvl w:val="0"/>
        <w:rPr>
          <w:rFonts w:cs="Arial"/>
          <w:color w:val="212121"/>
        </w:rPr>
      </w:pPr>
      <w:r w:rsidRPr="00707A47">
        <w:rPr>
          <w:rFonts w:cs="Arial"/>
          <w:color w:val="212121"/>
        </w:rPr>
        <w:t>P.O. Box 756</w:t>
      </w:r>
    </w:p>
    <w:p w14:paraId="24D1E6B4" w14:textId="77777777" w:rsidR="00165F72" w:rsidRPr="00707A47" w:rsidRDefault="00165F72" w:rsidP="00826D4C">
      <w:pPr>
        <w:adjustRightInd w:val="0"/>
        <w:jc w:val="both"/>
        <w:outlineLvl w:val="0"/>
        <w:rPr>
          <w:rFonts w:cs="Arial"/>
          <w:color w:val="212121"/>
        </w:rPr>
      </w:pPr>
      <w:r w:rsidRPr="00707A47">
        <w:rPr>
          <w:rFonts w:cs="Arial"/>
          <w:color w:val="212121"/>
        </w:rPr>
        <w:t>St. Thomas, VI 00804-0756</w:t>
      </w:r>
    </w:p>
    <w:p w14:paraId="238C437C" w14:textId="77777777" w:rsidR="00165F72" w:rsidRPr="00707A47" w:rsidRDefault="00165F72" w:rsidP="00826D4C">
      <w:pPr>
        <w:adjustRightInd w:val="0"/>
        <w:jc w:val="both"/>
        <w:outlineLvl w:val="0"/>
        <w:rPr>
          <w:rFonts w:cs="Arial"/>
        </w:rPr>
      </w:pPr>
      <w:r w:rsidRPr="00707A47">
        <w:rPr>
          <w:rFonts w:cs="Arial"/>
        </w:rPr>
        <w:t>Tel: (340) 774-4422</w:t>
      </w:r>
    </w:p>
    <w:p w14:paraId="646C438E" w14:textId="051B3892" w:rsidR="000C40D7" w:rsidRPr="00707A47" w:rsidRDefault="000C40D7" w:rsidP="00826D4C">
      <w:pPr>
        <w:adjustRightInd w:val="0"/>
        <w:jc w:val="both"/>
        <w:outlineLvl w:val="0"/>
        <w:rPr>
          <w:rFonts w:cs="Arial"/>
        </w:rPr>
      </w:pPr>
      <w:r w:rsidRPr="00707A47">
        <w:rPr>
          <w:rFonts w:cs="Arial"/>
        </w:rPr>
        <w:t>cperrell@dnfvi.com</w:t>
      </w:r>
      <w:r w:rsidR="00165F72" w:rsidRPr="00707A47">
        <w:rPr>
          <w:rFonts w:cs="Arial"/>
        </w:rPr>
        <w:t xml:space="preserve">, </w:t>
      </w:r>
    </w:p>
    <w:p w14:paraId="7E506289" w14:textId="7C87684D" w:rsidR="008B717C" w:rsidRPr="00707A47" w:rsidRDefault="00DC6A24" w:rsidP="00826D4C">
      <w:pPr>
        <w:adjustRightInd w:val="0"/>
        <w:jc w:val="both"/>
        <w:outlineLvl w:val="0"/>
        <w:rPr>
          <w:rFonts w:cs="Arial"/>
        </w:rPr>
      </w:pPr>
      <w:r w:rsidRPr="00707A47">
        <w:rPr>
          <w:rFonts w:cs="Arial"/>
        </w:rPr>
        <w:t>sherpel@dnfvi.com</w:t>
      </w:r>
    </w:p>
    <w:p w14:paraId="0A8CB47F" w14:textId="7B415433" w:rsidR="00DC6A24" w:rsidRPr="00707A47" w:rsidRDefault="00DC6A24" w:rsidP="00826D4C">
      <w:pPr>
        <w:adjustRightInd w:val="0"/>
        <w:jc w:val="both"/>
        <w:outlineLvl w:val="0"/>
        <w:rPr>
          <w:rFonts w:cs="Arial"/>
        </w:rPr>
      </w:pPr>
    </w:p>
    <w:p w14:paraId="0EE3467C" w14:textId="77777777" w:rsidR="00DC6A24" w:rsidRPr="00707A47" w:rsidRDefault="00DC6A24" w:rsidP="00826D4C">
      <w:pPr>
        <w:adjustRightInd w:val="0"/>
        <w:jc w:val="both"/>
        <w:outlineLvl w:val="0"/>
        <w:rPr>
          <w:rFonts w:eastAsiaTheme="minorHAnsi" w:cs="Arial"/>
          <w:b/>
          <w:bCs/>
        </w:rPr>
      </w:pPr>
      <w:r w:rsidRPr="00707A47">
        <w:rPr>
          <w:rFonts w:eastAsiaTheme="minorHAnsi" w:cs="Arial"/>
          <w:b/>
          <w:bCs/>
        </w:rPr>
        <w:t xml:space="preserve">Kevin A. Rames, Esq. </w:t>
      </w:r>
    </w:p>
    <w:p w14:paraId="5202C52F" w14:textId="77777777" w:rsidR="00DC6A24" w:rsidRPr="00707A47" w:rsidRDefault="00DC6A24" w:rsidP="00826D4C">
      <w:pPr>
        <w:adjustRightInd w:val="0"/>
        <w:jc w:val="both"/>
        <w:outlineLvl w:val="0"/>
        <w:rPr>
          <w:rFonts w:eastAsiaTheme="minorHAnsi" w:cs="Arial"/>
          <w:i/>
          <w:iCs/>
        </w:rPr>
      </w:pPr>
      <w:r w:rsidRPr="00707A47">
        <w:rPr>
          <w:rFonts w:eastAsiaTheme="minorHAnsi" w:cs="Arial"/>
          <w:i/>
          <w:iCs/>
        </w:rPr>
        <w:t xml:space="preserve">Counsel for Nominal Defendant </w:t>
      </w:r>
    </w:p>
    <w:p w14:paraId="72342378" w14:textId="7A5F9169" w:rsidR="00DC6A24" w:rsidRPr="00707A47" w:rsidRDefault="003065FE" w:rsidP="00826D4C">
      <w:pPr>
        <w:adjustRightInd w:val="0"/>
        <w:jc w:val="both"/>
        <w:outlineLvl w:val="0"/>
        <w:rPr>
          <w:rFonts w:cs="Arial"/>
          <w:i/>
          <w:iCs/>
        </w:rPr>
      </w:pPr>
      <w:r w:rsidRPr="00707A47">
        <w:rPr>
          <w:rFonts w:eastAsiaTheme="minorHAnsi" w:cs="Arial"/>
          <w:i/>
          <w:iCs/>
        </w:rPr>
        <w:t xml:space="preserve">  </w:t>
      </w:r>
      <w:r w:rsidR="00DC6A24" w:rsidRPr="00707A47">
        <w:rPr>
          <w:rFonts w:eastAsiaTheme="minorHAnsi" w:cs="Arial"/>
          <w:i/>
          <w:iCs/>
        </w:rPr>
        <w:t xml:space="preserve"> Sixteen Plus Corporation</w:t>
      </w:r>
    </w:p>
    <w:p w14:paraId="554198B8" w14:textId="114CEF52"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2111 Company Street, Suite 3</w:t>
      </w:r>
    </w:p>
    <w:p w14:paraId="508CBADC" w14:textId="77777777"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Christiansted, VI 00820</w:t>
      </w:r>
    </w:p>
    <w:p w14:paraId="41E978F7" w14:textId="7CBE0560"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Phone: (340) 773-7284</w:t>
      </w:r>
    </w:p>
    <w:p w14:paraId="34D27CEA" w14:textId="71B94F40"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Fax: (340) 773 -7282</w:t>
      </w:r>
    </w:p>
    <w:p w14:paraId="6D224D72" w14:textId="62481186" w:rsidR="000C40D7" w:rsidRPr="00707A47" w:rsidRDefault="000C40D7" w:rsidP="00826D4C">
      <w:pPr>
        <w:autoSpaceDE w:val="0"/>
        <w:autoSpaceDN w:val="0"/>
        <w:adjustRightInd w:val="0"/>
        <w:jc w:val="both"/>
        <w:outlineLvl w:val="0"/>
        <w:rPr>
          <w:rFonts w:eastAsiaTheme="minorHAnsi" w:cs="Arial"/>
        </w:rPr>
      </w:pPr>
      <w:r w:rsidRPr="00707A47">
        <w:rPr>
          <w:rFonts w:eastAsiaTheme="minorHAnsi" w:cs="Arial"/>
        </w:rPr>
        <w:t>kevin.rames@rameslaw.com</w:t>
      </w:r>
    </w:p>
    <w:p w14:paraId="507E16F0" w14:textId="6F47C0A5" w:rsidR="00165F72" w:rsidRPr="00707A47" w:rsidRDefault="000C40D7" w:rsidP="00826D4C">
      <w:pPr>
        <w:jc w:val="both"/>
        <w:outlineLvl w:val="0"/>
        <w:rPr>
          <w:rFonts w:cs="Arial"/>
          <w:u w:val="single"/>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u w:val="single"/>
        </w:rPr>
        <w:t xml:space="preserve">/s/ </w:t>
      </w:r>
      <w:r w:rsidR="0004301D" w:rsidRPr="00707A47">
        <w:rPr>
          <w:rFonts w:cs="Arial"/>
          <w:u w:val="single"/>
        </w:rPr>
        <w:t>Carl J. Hartmann</w:t>
      </w:r>
      <w:r w:rsidRPr="00707A47">
        <w:rPr>
          <w:rFonts w:cs="Arial"/>
          <w:u w:val="single"/>
        </w:rPr>
        <w:tab/>
      </w:r>
      <w:r w:rsidRPr="00707A47">
        <w:rPr>
          <w:rFonts w:cs="Arial"/>
          <w:u w:val="single"/>
        </w:rPr>
        <w:tab/>
      </w:r>
    </w:p>
    <w:p w14:paraId="2EB65BCD" w14:textId="77777777" w:rsidR="007B04CA" w:rsidRPr="00707A47" w:rsidRDefault="007B04CA" w:rsidP="00826D4C">
      <w:pPr>
        <w:jc w:val="both"/>
        <w:outlineLvl w:val="0"/>
        <w:rPr>
          <w:rFonts w:cs="Arial"/>
          <w:u w:val="single"/>
        </w:rPr>
      </w:pPr>
    </w:p>
    <w:sectPr w:rsidR="007B04CA" w:rsidRPr="00707A47" w:rsidSect="00EC37C7">
      <w:headerReference w:type="default" r:id="rId8"/>
      <w:footerReference w:type="even" r:id="rId9"/>
      <w:headerReference w:type="first" r:id="rId10"/>
      <w:pgSz w:w="12240" w:h="15840" w:code="1"/>
      <w:pgMar w:top="864" w:right="1152"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5B0E" w14:textId="77777777" w:rsidR="00CA2146" w:rsidRDefault="00CA2146" w:rsidP="00165F72">
      <w:r>
        <w:separator/>
      </w:r>
    </w:p>
  </w:endnote>
  <w:endnote w:type="continuationSeparator" w:id="0">
    <w:p w14:paraId="79FF6E50" w14:textId="77777777" w:rsidR="00CA2146" w:rsidRDefault="00CA2146"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F9FB" w14:textId="77777777" w:rsidR="00CA2146" w:rsidRDefault="00CA2146" w:rsidP="00165F72">
      <w:r>
        <w:separator/>
      </w:r>
    </w:p>
  </w:footnote>
  <w:footnote w:type="continuationSeparator" w:id="0">
    <w:p w14:paraId="4ED7CEF4" w14:textId="77777777" w:rsidR="00CA2146" w:rsidRDefault="00CA2146" w:rsidP="00165F72">
      <w:r>
        <w:continuationSeparator/>
      </w:r>
    </w:p>
  </w:footnote>
  <w:footnote w:id="1">
    <w:p w14:paraId="4401F81F" w14:textId="77777777" w:rsidR="0050083B" w:rsidRDefault="0050083B" w:rsidP="00DC2D27">
      <w:pPr>
        <w:autoSpaceDE w:val="0"/>
        <w:autoSpaceDN w:val="0"/>
        <w:adjustRightInd w:val="0"/>
        <w:jc w:val="both"/>
        <w:rPr>
          <w:rFonts w:cs="Arial"/>
        </w:rPr>
      </w:pPr>
      <w:r w:rsidRPr="007E07FF">
        <w:rPr>
          <w:rStyle w:val="FootnoteReference"/>
          <w:rFonts w:cs="Arial"/>
        </w:rPr>
        <w:footnoteRef/>
      </w:r>
      <w:r w:rsidRPr="007E07FF">
        <w:rPr>
          <w:rFonts w:cs="Arial"/>
        </w:rPr>
        <w:t xml:space="preserve"> In his letter above, Manal’s counsel incorrectly characterized this as solely being about the ability to serve her with process in Palestine. However the record is clear. He initially stated, in the Rule 16 conference, it would be provided—and it was almost entirely discussed as a standard request to any party where financial matters are involved, </w:t>
      </w:r>
      <w:r w:rsidRPr="007E07FF">
        <w:rPr>
          <w:rFonts w:cs="Arial"/>
          <w:i/>
          <w:iCs/>
        </w:rPr>
        <w:t>to do credit and other financial investigation</w:t>
      </w:r>
      <w:r w:rsidRPr="007E07FF">
        <w:rPr>
          <w:rFonts w:cs="Arial"/>
        </w:rPr>
        <w:t xml:space="preserve">. </w:t>
      </w:r>
      <w:r w:rsidRPr="007E07FF">
        <w:rPr>
          <w:rFonts w:cs="Arial"/>
          <w:i/>
          <w:iCs/>
        </w:rPr>
        <w:t xml:space="preserve">See </w:t>
      </w:r>
      <w:r w:rsidRPr="007E07FF">
        <w:rPr>
          <w:rFonts w:cs="Arial"/>
        </w:rPr>
        <w:t xml:space="preserve">page 2, of Hartmann’s letter to Hymes, dated October 20, 2022. </w:t>
      </w:r>
    </w:p>
    <w:p w14:paraId="1A989BC0" w14:textId="77777777" w:rsidR="0050083B" w:rsidRPr="00000BF6" w:rsidRDefault="0050083B" w:rsidP="0050083B">
      <w:pPr>
        <w:autoSpaceDE w:val="0"/>
        <w:autoSpaceDN w:val="0"/>
        <w:adjustRightInd w:val="0"/>
        <w:rPr>
          <w:rFonts w:cs="Arial"/>
          <w:sz w:val="12"/>
          <w:szCs w:val="12"/>
        </w:rPr>
      </w:pPr>
    </w:p>
    <w:p w14:paraId="6B9BCA19" w14:textId="77777777" w:rsidR="0050083B" w:rsidRPr="002F06B6" w:rsidRDefault="0050083B" w:rsidP="0050083B">
      <w:pPr>
        <w:autoSpaceDE w:val="0"/>
        <w:autoSpaceDN w:val="0"/>
        <w:adjustRightInd w:val="0"/>
        <w:ind w:left="720" w:right="720"/>
        <w:jc w:val="both"/>
        <w:outlineLvl w:val="0"/>
        <w:rPr>
          <w:rFonts w:cs="Arial"/>
        </w:rPr>
      </w:pPr>
      <w:r w:rsidRPr="002F06B6">
        <w:rPr>
          <w:rFonts w:cs="Arial"/>
        </w:rPr>
        <w:t>Item 8: We asked for her present address, and if it was not a place with</w:t>
      </w:r>
    </w:p>
    <w:p w14:paraId="52A50782" w14:textId="1124264D" w:rsidR="0050083B" w:rsidRPr="002F06B6" w:rsidRDefault="0050083B" w:rsidP="0050083B">
      <w:pPr>
        <w:autoSpaceDE w:val="0"/>
        <w:autoSpaceDN w:val="0"/>
        <w:adjustRightInd w:val="0"/>
        <w:ind w:left="720" w:right="720"/>
        <w:jc w:val="both"/>
        <w:outlineLvl w:val="0"/>
        <w:rPr>
          <w:rFonts w:cs="Arial"/>
        </w:rPr>
      </w:pPr>
      <w:r w:rsidRPr="002F06B6">
        <w:rPr>
          <w:rFonts w:cs="Arial"/>
        </w:rPr>
        <w:t xml:space="preserve">valid physical addresses, that it be described by route and </w:t>
      </w:r>
      <w:r w:rsidR="00E178F0" w:rsidRPr="002F06B6">
        <w:rPr>
          <w:rFonts w:cs="Arial"/>
        </w:rPr>
        <w:t>physical</w:t>
      </w:r>
    </w:p>
    <w:p w14:paraId="201DEBC2" w14:textId="5DDC604F" w:rsidR="0050083B" w:rsidRPr="002F06B6" w:rsidRDefault="0050083B" w:rsidP="0050083B">
      <w:pPr>
        <w:autoSpaceDE w:val="0"/>
        <w:autoSpaceDN w:val="0"/>
        <w:adjustRightInd w:val="0"/>
        <w:ind w:left="720" w:right="720"/>
        <w:jc w:val="both"/>
        <w:outlineLvl w:val="0"/>
        <w:rPr>
          <w:rFonts w:cs="Arial"/>
        </w:rPr>
      </w:pPr>
      <w:r w:rsidRPr="002F06B6">
        <w:rPr>
          <w:rFonts w:cs="Arial"/>
        </w:rPr>
        <w:t xml:space="preserve">appearance. You asked why I would want that. I responded that (1) it </w:t>
      </w:r>
      <w:r w:rsidR="00E178F0" w:rsidRPr="002F06B6">
        <w:rPr>
          <w:rFonts w:cs="Arial"/>
        </w:rPr>
        <w:t>is</w:t>
      </w:r>
    </w:p>
    <w:p w14:paraId="36EA29AC" w14:textId="77777777" w:rsidR="0050083B" w:rsidRPr="002F06B6" w:rsidRDefault="0050083B" w:rsidP="0050083B">
      <w:pPr>
        <w:autoSpaceDE w:val="0"/>
        <w:autoSpaceDN w:val="0"/>
        <w:adjustRightInd w:val="0"/>
        <w:ind w:left="720" w:right="720"/>
        <w:jc w:val="both"/>
        <w:outlineLvl w:val="0"/>
        <w:rPr>
          <w:rFonts w:cs="Arial"/>
        </w:rPr>
      </w:pPr>
      <w:r w:rsidRPr="002F06B6">
        <w:rPr>
          <w:rFonts w:cs="Arial"/>
        </w:rPr>
        <w:t>a standard discovery inquiry of a party, and (2) I intend to have or</w:t>
      </w:r>
    </w:p>
    <w:p w14:paraId="504D8E2A" w14:textId="77777777" w:rsidR="0050083B" w:rsidRPr="002F06B6" w:rsidRDefault="0050083B" w:rsidP="0050083B">
      <w:pPr>
        <w:autoSpaceDE w:val="0"/>
        <w:autoSpaceDN w:val="0"/>
        <w:adjustRightInd w:val="0"/>
        <w:ind w:left="720" w:right="720"/>
        <w:jc w:val="both"/>
        <w:outlineLvl w:val="0"/>
        <w:rPr>
          <w:rFonts w:cs="Arial"/>
        </w:rPr>
      </w:pPr>
      <w:r w:rsidRPr="002F06B6">
        <w:rPr>
          <w:rFonts w:cs="Arial"/>
        </w:rPr>
        <w:t>may have process served on her locally. You said you would provide</w:t>
      </w:r>
    </w:p>
    <w:p w14:paraId="4A53C390" w14:textId="77777777" w:rsidR="0050083B" w:rsidRPr="002F06B6" w:rsidRDefault="0050083B" w:rsidP="0050083B">
      <w:pPr>
        <w:pStyle w:val="FootnoteText"/>
        <w:ind w:left="720" w:right="720"/>
        <w:jc w:val="both"/>
        <w:outlineLvl w:val="0"/>
        <w:rPr>
          <w:rFonts w:ascii="Arial" w:hAnsi="Arial" w:cs="Arial"/>
          <w:sz w:val="24"/>
          <w:szCs w:val="24"/>
        </w:rPr>
      </w:pPr>
      <w:r w:rsidRPr="002F06B6">
        <w:rPr>
          <w:rFonts w:ascii="Arial" w:hAnsi="Arial" w:cs="Arial"/>
          <w:sz w:val="24"/>
          <w:szCs w:val="24"/>
        </w:rPr>
        <w:t>this.</w:t>
      </w:r>
    </w:p>
    <w:p w14:paraId="0A825125" w14:textId="77777777" w:rsidR="0050083B" w:rsidRPr="002F06B6" w:rsidRDefault="0050083B" w:rsidP="0050083B">
      <w:pPr>
        <w:pStyle w:val="FootnoteText"/>
        <w:ind w:left="720" w:right="720"/>
        <w:jc w:val="both"/>
        <w:outlineLvl w:val="0"/>
        <w:rPr>
          <w:rFonts w:ascii="Arial" w:hAnsi="Arial" w:cs="Arial"/>
          <w:sz w:val="12"/>
          <w:szCs w:val="12"/>
        </w:rPr>
      </w:pPr>
    </w:p>
  </w:footnote>
  <w:footnote w:id="2">
    <w:p w14:paraId="446FA626" w14:textId="48622E11" w:rsidR="0050083B" w:rsidRDefault="0050083B" w:rsidP="0050083B">
      <w:pPr>
        <w:autoSpaceDE w:val="0"/>
        <w:autoSpaceDN w:val="0"/>
        <w:adjustRightInd w:val="0"/>
        <w:jc w:val="both"/>
        <w:rPr>
          <w:rFonts w:cs="Arial"/>
        </w:rPr>
      </w:pPr>
      <w:r w:rsidRPr="007E07FF">
        <w:rPr>
          <w:rStyle w:val="FootnoteReference"/>
          <w:rFonts w:cs="Arial"/>
        </w:rPr>
        <w:footnoteRef/>
      </w:r>
      <w:r w:rsidRPr="007E07FF">
        <w:rPr>
          <w:rFonts w:cs="Arial"/>
        </w:rPr>
        <w:t xml:space="preserve"> It is completely baffling as to why, when Manal concedes that Hamed contests the issue of any such interest payments, she would deny </w:t>
      </w:r>
      <w:r w:rsidR="00DC2D27">
        <w:rPr>
          <w:rFonts w:cs="Arial"/>
        </w:rPr>
        <w:t xml:space="preserve">the existence of and </w:t>
      </w:r>
      <w:r w:rsidRPr="007E07FF">
        <w:rPr>
          <w:rFonts w:cs="Arial"/>
        </w:rPr>
        <w:t xml:space="preserve">access to her bank records for that period.) In the absence of </w:t>
      </w:r>
      <w:r w:rsidRPr="007E07FF">
        <w:rPr>
          <w:rFonts w:cs="Arial"/>
          <w:i/>
          <w:iCs/>
        </w:rPr>
        <w:t xml:space="preserve">any </w:t>
      </w:r>
      <w:r w:rsidRPr="007E07FF">
        <w:rPr>
          <w:rFonts w:cs="Arial"/>
        </w:rPr>
        <w:t xml:space="preserve">supporting documents or tax records about a million dollars in cash </w:t>
      </w:r>
      <w:r w:rsidR="00DC2D27">
        <w:rPr>
          <w:rFonts w:cs="Arial"/>
        </w:rPr>
        <w:t>(</w:t>
      </w:r>
      <w:r w:rsidRPr="007E07FF">
        <w:rPr>
          <w:rFonts w:cs="Arial"/>
        </w:rPr>
        <w:t>from either Isam or Manal</w:t>
      </w:r>
      <w:r w:rsidR="00DC2D27">
        <w:rPr>
          <w:rFonts w:cs="Arial"/>
        </w:rPr>
        <w:t>)</w:t>
      </w:r>
      <w:r w:rsidRPr="007E07FF">
        <w:rPr>
          <w:rFonts w:cs="Arial"/>
        </w:rPr>
        <w:t xml:space="preserve"> regarding interest payments—as she alleges only recently—it would seek contemporaneous bank records would be of highest importance. Her refusal </w:t>
      </w:r>
      <w:r w:rsidR="00675DDC">
        <w:rPr>
          <w:rFonts w:cs="Arial"/>
        </w:rPr>
        <w:t xml:space="preserve">in November 2022 </w:t>
      </w:r>
      <w:r w:rsidRPr="007E07FF">
        <w:rPr>
          <w:rFonts w:cs="Arial"/>
        </w:rPr>
        <w:t>is another current act in furtherance as well.</w:t>
      </w:r>
    </w:p>
    <w:p w14:paraId="0A45D201" w14:textId="77777777" w:rsidR="0050083B" w:rsidRPr="007E07FF" w:rsidRDefault="0050083B" w:rsidP="0050083B">
      <w:pPr>
        <w:autoSpaceDE w:val="0"/>
        <w:autoSpaceDN w:val="0"/>
        <w:adjustRightInd w:val="0"/>
        <w:jc w:val="both"/>
        <w:rPr>
          <w:rFonts w:cs="Arial"/>
        </w:rPr>
      </w:pPr>
    </w:p>
  </w:footnote>
  <w:footnote w:id="3">
    <w:p w14:paraId="33962DCE" w14:textId="357AFFFF" w:rsidR="0050083B" w:rsidRPr="007E07FF" w:rsidRDefault="0050083B" w:rsidP="0050083B">
      <w:pPr>
        <w:autoSpaceDE w:val="0"/>
        <w:autoSpaceDN w:val="0"/>
        <w:adjustRightInd w:val="0"/>
        <w:jc w:val="both"/>
        <w:rPr>
          <w:rFonts w:cs="Arial"/>
        </w:rPr>
      </w:pPr>
      <w:r w:rsidRPr="007E07FF">
        <w:rPr>
          <w:rStyle w:val="FootnoteReference"/>
          <w:rFonts w:cs="Arial"/>
        </w:rPr>
        <w:footnoteRef/>
      </w:r>
      <w:r w:rsidRPr="007E07FF">
        <w:rPr>
          <w:rFonts w:cs="Arial"/>
        </w:rPr>
        <w:t xml:space="preserve"> </w:t>
      </w:r>
      <w:r w:rsidRPr="007E07FF">
        <w:rPr>
          <w:rFonts w:cs="Arial"/>
          <w:i/>
          <w:iCs/>
        </w:rPr>
        <w:t xml:space="preserve">Letter </w:t>
      </w:r>
      <w:r w:rsidRPr="007E07FF">
        <w:rPr>
          <w:rFonts w:cs="Arial"/>
        </w:rPr>
        <w:t xml:space="preserve">from Atty. Holt to Atty. </w:t>
      </w:r>
      <w:r w:rsidRPr="007E07FF">
        <w:rPr>
          <w:rFonts w:cs="Arial"/>
        </w:rPr>
        <w:t>Hymes, date</w:t>
      </w:r>
      <w:r w:rsidR="008E4CB6">
        <w:rPr>
          <w:rFonts w:cs="Arial"/>
        </w:rPr>
        <w:t>d</w:t>
      </w:r>
      <w:r w:rsidRPr="007E07FF">
        <w:rPr>
          <w:rFonts w:cs="Arial"/>
        </w:rPr>
        <w:t xml:space="preserve"> August 1, 2017</w:t>
      </w:r>
      <w:r w:rsidR="008E4CB6">
        <w:rPr>
          <w:rFonts w:cs="Arial"/>
        </w:rPr>
        <w:t>,</w:t>
      </w:r>
      <w:r w:rsidR="00202999">
        <w:rPr>
          <w:rFonts w:cs="Arial"/>
        </w:rPr>
        <w:t xml:space="preserve"> </w:t>
      </w:r>
      <w:r w:rsidR="00202999">
        <w:rPr>
          <w:rFonts w:cs="Arial"/>
        </w:rPr>
        <w:t>Exhibit to the motion to amend.</w:t>
      </w:r>
      <w:r w:rsidRPr="007E07FF">
        <w:rPr>
          <w:rFonts w:cs="Arial"/>
        </w:rPr>
        <w:t xml:space="preserve"> (“ln follow up to our Rule 37 conference, I want to memorialize what I understand we agreed on. . . .3. Regarding Manal's passports, you are obtaining copies as promptly as you can, which you will then file under seal with the Court, notifying me when you do.”)</w:t>
      </w:r>
    </w:p>
    <w:p w14:paraId="23680F94" w14:textId="77777777" w:rsidR="0050083B" w:rsidRPr="007E07FF" w:rsidRDefault="0050083B" w:rsidP="0050083B">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2DFD" w14:textId="77777777" w:rsidR="0050083B" w:rsidRDefault="002976F0">
    <w:pPr>
      <w:pStyle w:val="Header"/>
      <w:rPr>
        <w:sz w:val="20"/>
        <w:szCs w:val="20"/>
      </w:rPr>
    </w:pPr>
    <w:r w:rsidRPr="002976F0">
      <w:rPr>
        <w:sz w:val="20"/>
        <w:szCs w:val="20"/>
      </w:rPr>
      <w:t xml:space="preserve">Hamed’s </w:t>
    </w:r>
    <w:r w:rsidR="0050083B">
      <w:rPr>
        <w:sz w:val="20"/>
        <w:szCs w:val="20"/>
      </w:rPr>
      <w:t xml:space="preserve">Motion to Supplement the FAC </w:t>
    </w:r>
  </w:p>
  <w:p w14:paraId="689E805D" w14:textId="66DD79A8" w:rsidR="002976F0" w:rsidRPr="002976F0" w:rsidRDefault="0050083B">
    <w:pPr>
      <w:pStyle w:val="Header"/>
      <w:rPr>
        <w:sz w:val="20"/>
        <w:szCs w:val="20"/>
      </w:rPr>
    </w:pPr>
    <w:r>
      <w:rPr>
        <w:sz w:val="20"/>
        <w:szCs w:val="20"/>
      </w:rPr>
      <w:t xml:space="preserve">to add Post-FAC </w:t>
    </w:r>
    <w:r w:rsidR="00202999">
      <w:rPr>
        <w:sz w:val="20"/>
        <w:szCs w:val="20"/>
      </w:rPr>
      <w:t>Knowledge and Acts</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8885" w14:textId="5620E77A" w:rsidR="002949ED" w:rsidRPr="007E07FF" w:rsidRDefault="007E07FF" w:rsidP="007E07FF">
    <w:pPr>
      <w:pStyle w:val="Header"/>
      <w:jc w:val="center"/>
      <w:rPr>
        <w:b/>
        <w:bCs/>
      </w:rPr>
    </w:pPr>
    <w:r w:rsidRPr="007E07FF">
      <w:rPr>
        <w:b/>
        <w:bCs/>
      </w:rPr>
      <w:t>IN THE SUPERIOR COURT OF THE VIRGIN ISLAND</w:t>
    </w:r>
  </w:p>
  <w:p w14:paraId="475D207E" w14:textId="7116DFAC" w:rsidR="007E07FF" w:rsidRDefault="007E07FF" w:rsidP="007E07FF">
    <w:pPr>
      <w:pStyle w:val="Header"/>
      <w:jc w:val="center"/>
      <w:rPr>
        <w:b/>
        <w:bCs/>
      </w:rPr>
    </w:pPr>
    <w:r w:rsidRPr="007E07FF">
      <w:rPr>
        <w:b/>
        <w:bCs/>
      </w:rPr>
      <w:t>DISTRICT OF ST. CROIX</w:t>
    </w:r>
  </w:p>
  <w:p w14:paraId="158FC14C" w14:textId="46F7452B" w:rsidR="007E07FF" w:rsidRDefault="007E07FF" w:rsidP="007E07FF">
    <w:pPr>
      <w:pStyle w:val="Header"/>
      <w:jc w:val="center"/>
      <w:rPr>
        <w:b/>
        <w:bCs/>
      </w:rPr>
    </w:pPr>
  </w:p>
  <w:p w14:paraId="1725642E" w14:textId="77777777" w:rsidR="007E07FF" w:rsidRPr="007E07FF" w:rsidRDefault="007E07FF" w:rsidP="007E07F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31"/>
    <w:multiLevelType w:val="hybridMultilevel"/>
    <w:tmpl w:val="9D3CA3D8"/>
    <w:lvl w:ilvl="0" w:tplc="E26E5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1F1C"/>
    <w:multiLevelType w:val="hybridMultilevel"/>
    <w:tmpl w:val="8DBA7C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8" w15:restartNumberingAfterBreak="0">
    <w:nsid w:val="1A6D722D"/>
    <w:multiLevelType w:val="hybridMultilevel"/>
    <w:tmpl w:val="F1109892"/>
    <w:lvl w:ilvl="0" w:tplc="EC424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B5511"/>
    <w:multiLevelType w:val="hybridMultilevel"/>
    <w:tmpl w:val="16E23DFA"/>
    <w:lvl w:ilvl="0" w:tplc="6C28A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37090"/>
    <w:multiLevelType w:val="hybridMultilevel"/>
    <w:tmpl w:val="BB80B13C"/>
    <w:lvl w:ilvl="0" w:tplc="D3B46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 w15:restartNumberingAfterBreak="0">
    <w:nsid w:val="2AEC4CAE"/>
    <w:multiLevelType w:val="hybridMultilevel"/>
    <w:tmpl w:val="05143788"/>
    <w:lvl w:ilvl="0" w:tplc="A6688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900E9"/>
    <w:multiLevelType w:val="hybridMultilevel"/>
    <w:tmpl w:val="8DBA7C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9B63F2"/>
    <w:multiLevelType w:val="hybridMultilevel"/>
    <w:tmpl w:val="F89CFC0C"/>
    <w:lvl w:ilvl="0" w:tplc="ADB6AFC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05FE8"/>
    <w:multiLevelType w:val="hybridMultilevel"/>
    <w:tmpl w:val="615A1E0A"/>
    <w:lvl w:ilvl="0" w:tplc="E8B89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02CE9"/>
    <w:multiLevelType w:val="hybridMultilevel"/>
    <w:tmpl w:val="88EC577A"/>
    <w:lvl w:ilvl="0" w:tplc="FF7CE0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5A6885"/>
    <w:multiLevelType w:val="hybridMultilevel"/>
    <w:tmpl w:val="BF500A64"/>
    <w:lvl w:ilvl="0" w:tplc="47561B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AA5F14"/>
    <w:multiLevelType w:val="hybridMultilevel"/>
    <w:tmpl w:val="928A1B8A"/>
    <w:lvl w:ilvl="0" w:tplc="2E2A5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042DF0"/>
    <w:multiLevelType w:val="hybridMultilevel"/>
    <w:tmpl w:val="8DBA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06B32"/>
    <w:multiLevelType w:val="hybridMultilevel"/>
    <w:tmpl w:val="DE588684"/>
    <w:lvl w:ilvl="0" w:tplc="623AB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C0D32"/>
    <w:multiLevelType w:val="hybridMultilevel"/>
    <w:tmpl w:val="E2F0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3"/>
  </w:num>
  <w:num w:numId="2" w16cid:durableId="1368943162">
    <w:abstractNumId w:val="21"/>
  </w:num>
  <w:num w:numId="3" w16cid:durableId="1507942981">
    <w:abstractNumId w:val="22"/>
  </w:num>
  <w:num w:numId="4" w16cid:durableId="997265514">
    <w:abstractNumId w:val="41"/>
  </w:num>
  <w:num w:numId="5" w16cid:durableId="1793983458">
    <w:abstractNumId w:val="38"/>
  </w:num>
  <w:num w:numId="6" w16cid:durableId="1834251538">
    <w:abstractNumId w:val="35"/>
  </w:num>
  <w:num w:numId="7" w16cid:durableId="281111298">
    <w:abstractNumId w:val="2"/>
  </w:num>
  <w:num w:numId="8" w16cid:durableId="2143233693">
    <w:abstractNumId w:val="5"/>
  </w:num>
  <w:num w:numId="9" w16cid:durableId="335499450">
    <w:abstractNumId w:val="23"/>
  </w:num>
  <w:num w:numId="10" w16cid:durableId="1097990942">
    <w:abstractNumId w:val="19"/>
  </w:num>
  <w:num w:numId="11" w16cid:durableId="229198723">
    <w:abstractNumId w:val="29"/>
  </w:num>
  <w:num w:numId="12" w16cid:durableId="227424239">
    <w:abstractNumId w:val="34"/>
  </w:num>
  <w:num w:numId="13" w16cid:durableId="1026831184">
    <w:abstractNumId w:val="24"/>
  </w:num>
  <w:num w:numId="14" w16cid:durableId="1256205564">
    <w:abstractNumId w:val="31"/>
  </w:num>
  <w:num w:numId="15" w16cid:durableId="1955284910">
    <w:abstractNumId w:val="46"/>
  </w:num>
  <w:num w:numId="16" w16cid:durableId="477113486">
    <w:abstractNumId w:val="15"/>
  </w:num>
  <w:num w:numId="17" w16cid:durableId="1513497618">
    <w:abstractNumId w:val="12"/>
  </w:num>
  <w:num w:numId="18" w16cid:durableId="711928196">
    <w:abstractNumId w:val="16"/>
  </w:num>
  <w:num w:numId="19" w16cid:durableId="1613390715">
    <w:abstractNumId w:val="14"/>
  </w:num>
  <w:num w:numId="20" w16cid:durableId="1241721672">
    <w:abstractNumId w:val="43"/>
  </w:num>
  <w:num w:numId="21" w16cid:durableId="131949083">
    <w:abstractNumId w:val="4"/>
  </w:num>
  <w:num w:numId="22" w16cid:durableId="96222133">
    <w:abstractNumId w:val="26"/>
  </w:num>
  <w:num w:numId="23" w16cid:durableId="223444391">
    <w:abstractNumId w:val="6"/>
  </w:num>
  <w:num w:numId="24" w16cid:durableId="1383673924">
    <w:abstractNumId w:val="47"/>
  </w:num>
  <w:num w:numId="25" w16cid:durableId="980384737">
    <w:abstractNumId w:val="39"/>
  </w:num>
  <w:num w:numId="26" w16cid:durableId="1906911627">
    <w:abstractNumId w:val="30"/>
  </w:num>
  <w:num w:numId="27" w16cid:durableId="804007453">
    <w:abstractNumId w:val="33"/>
  </w:num>
  <w:num w:numId="28" w16cid:durableId="307515422">
    <w:abstractNumId w:val="28"/>
  </w:num>
  <w:num w:numId="29" w16cid:durableId="452599570">
    <w:abstractNumId w:val="48"/>
  </w:num>
  <w:num w:numId="30" w16cid:durableId="1472018240">
    <w:abstractNumId w:val="17"/>
  </w:num>
  <w:num w:numId="31" w16cid:durableId="841287006">
    <w:abstractNumId w:val="44"/>
  </w:num>
  <w:num w:numId="32" w16cid:durableId="381057136">
    <w:abstractNumId w:val="11"/>
  </w:num>
  <w:num w:numId="33" w16cid:durableId="341904183">
    <w:abstractNumId w:val="8"/>
  </w:num>
  <w:num w:numId="34" w16cid:durableId="302194559">
    <w:abstractNumId w:val="45"/>
  </w:num>
  <w:num w:numId="35" w16cid:durableId="312417085">
    <w:abstractNumId w:val="9"/>
  </w:num>
  <w:num w:numId="36" w16cid:durableId="1604534671">
    <w:abstractNumId w:val="25"/>
  </w:num>
  <w:num w:numId="37" w16cid:durableId="3939384">
    <w:abstractNumId w:val="40"/>
  </w:num>
  <w:num w:numId="38" w16cid:durableId="455635241">
    <w:abstractNumId w:val="1"/>
  </w:num>
  <w:num w:numId="39" w16cid:durableId="1540439042">
    <w:abstractNumId w:val="20"/>
  </w:num>
  <w:num w:numId="40" w16cid:durableId="1155147454">
    <w:abstractNumId w:val="27"/>
  </w:num>
  <w:num w:numId="41" w16cid:durableId="1946229872">
    <w:abstractNumId w:val="36"/>
  </w:num>
  <w:num w:numId="42" w16cid:durableId="944309707">
    <w:abstractNumId w:val="7"/>
  </w:num>
  <w:num w:numId="43" w16cid:durableId="2113012754">
    <w:abstractNumId w:val="13"/>
  </w:num>
  <w:num w:numId="44" w16cid:durableId="253174665">
    <w:abstractNumId w:val="18"/>
  </w:num>
  <w:num w:numId="45" w16cid:durableId="2109421604">
    <w:abstractNumId w:val="10"/>
  </w:num>
  <w:num w:numId="46" w16cid:durableId="1688823818">
    <w:abstractNumId w:val="37"/>
  </w:num>
  <w:num w:numId="47" w16cid:durableId="281038827">
    <w:abstractNumId w:val="32"/>
  </w:num>
  <w:num w:numId="48" w16cid:durableId="1008021053">
    <w:abstractNumId w:val="42"/>
  </w:num>
  <w:num w:numId="49" w16cid:durableId="169037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0BF6"/>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2F59"/>
    <w:rsid w:val="0004301D"/>
    <w:rsid w:val="00076BF2"/>
    <w:rsid w:val="000775B4"/>
    <w:rsid w:val="00082BBC"/>
    <w:rsid w:val="000A2139"/>
    <w:rsid w:val="000A3992"/>
    <w:rsid w:val="000A7D63"/>
    <w:rsid w:val="000B1046"/>
    <w:rsid w:val="000B2D36"/>
    <w:rsid w:val="000B3479"/>
    <w:rsid w:val="000B5891"/>
    <w:rsid w:val="000C40D7"/>
    <w:rsid w:val="000D2A30"/>
    <w:rsid w:val="000E3665"/>
    <w:rsid w:val="000E5495"/>
    <w:rsid w:val="000E6322"/>
    <w:rsid w:val="000F0203"/>
    <w:rsid w:val="001017FD"/>
    <w:rsid w:val="00106CDB"/>
    <w:rsid w:val="00134ADD"/>
    <w:rsid w:val="001372F6"/>
    <w:rsid w:val="00143484"/>
    <w:rsid w:val="00144097"/>
    <w:rsid w:val="00146687"/>
    <w:rsid w:val="001535B1"/>
    <w:rsid w:val="00157A9E"/>
    <w:rsid w:val="001645A3"/>
    <w:rsid w:val="00165F72"/>
    <w:rsid w:val="00170720"/>
    <w:rsid w:val="00170E29"/>
    <w:rsid w:val="00180F1A"/>
    <w:rsid w:val="001812B3"/>
    <w:rsid w:val="0018655A"/>
    <w:rsid w:val="00192F1E"/>
    <w:rsid w:val="00197FCC"/>
    <w:rsid w:val="001A05A0"/>
    <w:rsid w:val="001A2E75"/>
    <w:rsid w:val="001A4678"/>
    <w:rsid w:val="001B6F51"/>
    <w:rsid w:val="001C27C1"/>
    <w:rsid w:val="001C75D3"/>
    <w:rsid w:val="001D3672"/>
    <w:rsid w:val="001D3D7B"/>
    <w:rsid w:val="001D6695"/>
    <w:rsid w:val="00202999"/>
    <w:rsid w:val="00202D45"/>
    <w:rsid w:val="00212EA8"/>
    <w:rsid w:val="00217A73"/>
    <w:rsid w:val="00224C22"/>
    <w:rsid w:val="00224EB5"/>
    <w:rsid w:val="00230301"/>
    <w:rsid w:val="002376E5"/>
    <w:rsid w:val="00237A68"/>
    <w:rsid w:val="002415E6"/>
    <w:rsid w:val="002418FC"/>
    <w:rsid w:val="0024271D"/>
    <w:rsid w:val="0024320A"/>
    <w:rsid w:val="0024795F"/>
    <w:rsid w:val="00266F9A"/>
    <w:rsid w:val="00286F18"/>
    <w:rsid w:val="002938D9"/>
    <w:rsid w:val="002949ED"/>
    <w:rsid w:val="002976F0"/>
    <w:rsid w:val="002A0854"/>
    <w:rsid w:val="002A63CA"/>
    <w:rsid w:val="002A6DC6"/>
    <w:rsid w:val="002B0303"/>
    <w:rsid w:val="002B2A3C"/>
    <w:rsid w:val="002B5B09"/>
    <w:rsid w:val="002C70FB"/>
    <w:rsid w:val="002D03B9"/>
    <w:rsid w:val="002D0E3C"/>
    <w:rsid w:val="002D4A01"/>
    <w:rsid w:val="002D730C"/>
    <w:rsid w:val="002E1AF8"/>
    <w:rsid w:val="002F06B6"/>
    <w:rsid w:val="002F2146"/>
    <w:rsid w:val="002F3D36"/>
    <w:rsid w:val="003065FE"/>
    <w:rsid w:val="003103C7"/>
    <w:rsid w:val="003129DA"/>
    <w:rsid w:val="00317D97"/>
    <w:rsid w:val="00321DDD"/>
    <w:rsid w:val="00322299"/>
    <w:rsid w:val="00333068"/>
    <w:rsid w:val="00343AB0"/>
    <w:rsid w:val="00345733"/>
    <w:rsid w:val="00353AE4"/>
    <w:rsid w:val="003555D8"/>
    <w:rsid w:val="00357730"/>
    <w:rsid w:val="0036771D"/>
    <w:rsid w:val="00377B8D"/>
    <w:rsid w:val="0038257A"/>
    <w:rsid w:val="0039100A"/>
    <w:rsid w:val="00393954"/>
    <w:rsid w:val="003B12E6"/>
    <w:rsid w:val="003C2FA4"/>
    <w:rsid w:val="003D2B4E"/>
    <w:rsid w:val="003D3913"/>
    <w:rsid w:val="003D47BD"/>
    <w:rsid w:val="003D79D1"/>
    <w:rsid w:val="004014A7"/>
    <w:rsid w:val="00403FA4"/>
    <w:rsid w:val="00414D93"/>
    <w:rsid w:val="00415CF5"/>
    <w:rsid w:val="00417AEF"/>
    <w:rsid w:val="00422499"/>
    <w:rsid w:val="004465A5"/>
    <w:rsid w:val="004506E6"/>
    <w:rsid w:val="00456055"/>
    <w:rsid w:val="004564FA"/>
    <w:rsid w:val="00456D1A"/>
    <w:rsid w:val="00463954"/>
    <w:rsid w:val="00465642"/>
    <w:rsid w:val="00467FBC"/>
    <w:rsid w:val="00482F63"/>
    <w:rsid w:val="0049034B"/>
    <w:rsid w:val="00492D20"/>
    <w:rsid w:val="00494701"/>
    <w:rsid w:val="00496A50"/>
    <w:rsid w:val="004A0257"/>
    <w:rsid w:val="004A24F2"/>
    <w:rsid w:val="004A454A"/>
    <w:rsid w:val="004A4798"/>
    <w:rsid w:val="004C3194"/>
    <w:rsid w:val="004C3DB7"/>
    <w:rsid w:val="004C7C97"/>
    <w:rsid w:val="004F143C"/>
    <w:rsid w:val="004F527C"/>
    <w:rsid w:val="004F5F36"/>
    <w:rsid w:val="0050083B"/>
    <w:rsid w:val="00500EFA"/>
    <w:rsid w:val="00501CB5"/>
    <w:rsid w:val="00501F01"/>
    <w:rsid w:val="0051060F"/>
    <w:rsid w:val="00515D8C"/>
    <w:rsid w:val="0052049A"/>
    <w:rsid w:val="00527356"/>
    <w:rsid w:val="00527A09"/>
    <w:rsid w:val="00536565"/>
    <w:rsid w:val="005401D9"/>
    <w:rsid w:val="005434E0"/>
    <w:rsid w:val="00545212"/>
    <w:rsid w:val="00546375"/>
    <w:rsid w:val="00550B22"/>
    <w:rsid w:val="00552D22"/>
    <w:rsid w:val="005571F4"/>
    <w:rsid w:val="00557402"/>
    <w:rsid w:val="00561A82"/>
    <w:rsid w:val="00561B56"/>
    <w:rsid w:val="0056292C"/>
    <w:rsid w:val="005752F4"/>
    <w:rsid w:val="00581225"/>
    <w:rsid w:val="00581D86"/>
    <w:rsid w:val="005A0523"/>
    <w:rsid w:val="005A14BF"/>
    <w:rsid w:val="005A1C01"/>
    <w:rsid w:val="005A651D"/>
    <w:rsid w:val="005B08A7"/>
    <w:rsid w:val="005B1149"/>
    <w:rsid w:val="005C76C0"/>
    <w:rsid w:val="005D2BEF"/>
    <w:rsid w:val="005D31E5"/>
    <w:rsid w:val="005E0003"/>
    <w:rsid w:val="005E72CE"/>
    <w:rsid w:val="005F03D6"/>
    <w:rsid w:val="005F3725"/>
    <w:rsid w:val="005F69BB"/>
    <w:rsid w:val="006047DF"/>
    <w:rsid w:val="0060640A"/>
    <w:rsid w:val="00606CC9"/>
    <w:rsid w:val="006123D3"/>
    <w:rsid w:val="00625071"/>
    <w:rsid w:val="00630C57"/>
    <w:rsid w:val="0063504C"/>
    <w:rsid w:val="00635BAF"/>
    <w:rsid w:val="0064424F"/>
    <w:rsid w:val="0064603D"/>
    <w:rsid w:val="006474F7"/>
    <w:rsid w:val="00654BED"/>
    <w:rsid w:val="006609A9"/>
    <w:rsid w:val="00661E0F"/>
    <w:rsid w:val="00667ECE"/>
    <w:rsid w:val="00674853"/>
    <w:rsid w:val="00675DDC"/>
    <w:rsid w:val="00681DF5"/>
    <w:rsid w:val="006832C2"/>
    <w:rsid w:val="00687FFD"/>
    <w:rsid w:val="00690C75"/>
    <w:rsid w:val="006A0C00"/>
    <w:rsid w:val="006A6F8F"/>
    <w:rsid w:val="006A7C08"/>
    <w:rsid w:val="006B00BA"/>
    <w:rsid w:val="006B55DD"/>
    <w:rsid w:val="006D2B98"/>
    <w:rsid w:val="006D5959"/>
    <w:rsid w:val="006D7116"/>
    <w:rsid w:val="006D7753"/>
    <w:rsid w:val="006E08E1"/>
    <w:rsid w:val="006E3395"/>
    <w:rsid w:val="006E5678"/>
    <w:rsid w:val="006F2130"/>
    <w:rsid w:val="006F466B"/>
    <w:rsid w:val="0070199B"/>
    <w:rsid w:val="00702CEE"/>
    <w:rsid w:val="00703564"/>
    <w:rsid w:val="00707A47"/>
    <w:rsid w:val="00735A71"/>
    <w:rsid w:val="00747AFD"/>
    <w:rsid w:val="00754200"/>
    <w:rsid w:val="00755452"/>
    <w:rsid w:val="007715BE"/>
    <w:rsid w:val="007739A9"/>
    <w:rsid w:val="00774A14"/>
    <w:rsid w:val="00797AEA"/>
    <w:rsid w:val="007A6AA5"/>
    <w:rsid w:val="007B04CA"/>
    <w:rsid w:val="007C0F53"/>
    <w:rsid w:val="007C26BD"/>
    <w:rsid w:val="007E07FF"/>
    <w:rsid w:val="007E2374"/>
    <w:rsid w:val="007E6613"/>
    <w:rsid w:val="0080379A"/>
    <w:rsid w:val="00803AFF"/>
    <w:rsid w:val="00804B0E"/>
    <w:rsid w:val="008065AB"/>
    <w:rsid w:val="00812207"/>
    <w:rsid w:val="00814B49"/>
    <w:rsid w:val="00826D4C"/>
    <w:rsid w:val="00831FE5"/>
    <w:rsid w:val="008324C5"/>
    <w:rsid w:val="008326B0"/>
    <w:rsid w:val="00833EAB"/>
    <w:rsid w:val="0083486A"/>
    <w:rsid w:val="00835828"/>
    <w:rsid w:val="008363EA"/>
    <w:rsid w:val="008418BA"/>
    <w:rsid w:val="0085092E"/>
    <w:rsid w:val="00856302"/>
    <w:rsid w:val="00865F8E"/>
    <w:rsid w:val="00870D25"/>
    <w:rsid w:val="008735D9"/>
    <w:rsid w:val="00876F9C"/>
    <w:rsid w:val="008856E8"/>
    <w:rsid w:val="00885BD0"/>
    <w:rsid w:val="0089735D"/>
    <w:rsid w:val="008A16CD"/>
    <w:rsid w:val="008A471F"/>
    <w:rsid w:val="008A725E"/>
    <w:rsid w:val="008B11F9"/>
    <w:rsid w:val="008B25D1"/>
    <w:rsid w:val="008B717C"/>
    <w:rsid w:val="008C1A94"/>
    <w:rsid w:val="008D363B"/>
    <w:rsid w:val="008E040B"/>
    <w:rsid w:val="008E1CDC"/>
    <w:rsid w:val="008E2F20"/>
    <w:rsid w:val="008E4CB6"/>
    <w:rsid w:val="008E5216"/>
    <w:rsid w:val="0090548A"/>
    <w:rsid w:val="00905663"/>
    <w:rsid w:val="00914545"/>
    <w:rsid w:val="0092172F"/>
    <w:rsid w:val="00931920"/>
    <w:rsid w:val="00931938"/>
    <w:rsid w:val="0094149F"/>
    <w:rsid w:val="009418CF"/>
    <w:rsid w:val="00942876"/>
    <w:rsid w:val="009472C2"/>
    <w:rsid w:val="00947CD0"/>
    <w:rsid w:val="00961E56"/>
    <w:rsid w:val="00962401"/>
    <w:rsid w:val="00967B03"/>
    <w:rsid w:val="00983758"/>
    <w:rsid w:val="00992AF8"/>
    <w:rsid w:val="009930B4"/>
    <w:rsid w:val="009A6549"/>
    <w:rsid w:val="009B3FD2"/>
    <w:rsid w:val="009C05CC"/>
    <w:rsid w:val="009C1AD5"/>
    <w:rsid w:val="009D6559"/>
    <w:rsid w:val="009D7C6E"/>
    <w:rsid w:val="009E1A1B"/>
    <w:rsid w:val="009E3A7A"/>
    <w:rsid w:val="009E5554"/>
    <w:rsid w:val="009F0BB6"/>
    <w:rsid w:val="009F2AB4"/>
    <w:rsid w:val="00A05D4B"/>
    <w:rsid w:val="00A07690"/>
    <w:rsid w:val="00A07DAD"/>
    <w:rsid w:val="00A13BCC"/>
    <w:rsid w:val="00A17BD5"/>
    <w:rsid w:val="00A23FEF"/>
    <w:rsid w:val="00A27451"/>
    <w:rsid w:val="00A30A84"/>
    <w:rsid w:val="00A349BB"/>
    <w:rsid w:val="00A35B89"/>
    <w:rsid w:val="00A40FA1"/>
    <w:rsid w:val="00A4189E"/>
    <w:rsid w:val="00A41A39"/>
    <w:rsid w:val="00A61AA6"/>
    <w:rsid w:val="00A67BC1"/>
    <w:rsid w:val="00AB50C4"/>
    <w:rsid w:val="00AC136A"/>
    <w:rsid w:val="00AC48C0"/>
    <w:rsid w:val="00AD20ED"/>
    <w:rsid w:val="00AD452A"/>
    <w:rsid w:val="00AF11AF"/>
    <w:rsid w:val="00AF2E0C"/>
    <w:rsid w:val="00AF78AD"/>
    <w:rsid w:val="00B0438B"/>
    <w:rsid w:val="00B04805"/>
    <w:rsid w:val="00B054A8"/>
    <w:rsid w:val="00B05AA4"/>
    <w:rsid w:val="00B161D7"/>
    <w:rsid w:val="00B171A5"/>
    <w:rsid w:val="00B30407"/>
    <w:rsid w:val="00B370E9"/>
    <w:rsid w:val="00B447DB"/>
    <w:rsid w:val="00B50143"/>
    <w:rsid w:val="00B67A5F"/>
    <w:rsid w:val="00B70E5E"/>
    <w:rsid w:val="00B74216"/>
    <w:rsid w:val="00B82634"/>
    <w:rsid w:val="00B94E5A"/>
    <w:rsid w:val="00B95972"/>
    <w:rsid w:val="00BA081B"/>
    <w:rsid w:val="00BB3F88"/>
    <w:rsid w:val="00BC05EF"/>
    <w:rsid w:val="00BC1150"/>
    <w:rsid w:val="00BC4009"/>
    <w:rsid w:val="00BD0537"/>
    <w:rsid w:val="00BD1C87"/>
    <w:rsid w:val="00BD7388"/>
    <w:rsid w:val="00BF5230"/>
    <w:rsid w:val="00BF691D"/>
    <w:rsid w:val="00BF6E28"/>
    <w:rsid w:val="00C01181"/>
    <w:rsid w:val="00C1407C"/>
    <w:rsid w:val="00C220F6"/>
    <w:rsid w:val="00C344DF"/>
    <w:rsid w:val="00C40567"/>
    <w:rsid w:val="00C40730"/>
    <w:rsid w:val="00C428DE"/>
    <w:rsid w:val="00C45455"/>
    <w:rsid w:val="00C616DD"/>
    <w:rsid w:val="00C61F95"/>
    <w:rsid w:val="00C63DBE"/>
    <w:rsid w:val="00C648E6"/>
    <w:rsid w:val="00C67CB2"/>
    <w:rsid w:val="00C717D2"/>
    <w:rsid w:val="00C831DD"/>
    <w:rsid w:val="00C915CF"/>
    <w:rsid w:val="00C9205B"/>
    <w:rsid w:val="00CA16BA"/>
    <w:rsid w:val="00CA2146"/>
    <w:rsid w:val="00CA7FFD"/>
    <w:rsid w:val="00CC0C67"/>
    <w:rsid w:val="00CC4B2D"/>
    <w:rsid w:val="00CC747E"/>
    <w:rsid w:val="00CC76DD"/>
    <w:rsid w:val="00CD2969"/>
    <w:rsid w:val="00CD2B4C"/>
    <w:rsid w:val="00CD376C"/>
    <w:rsid w:val="00CD3D4A"/>
    <w:rsid w:val="00CD463F"/>
    <w:rsid w:val="00CE6642"/>
    <w:rsid w:val="00CE7B71"/>
    <w:rsid w:val="00CF5DE8"/>
    <w:rsid w:val="00D03E6E"/>
    <w:rsid w:val="00D04BFC"/>
    <w:rsid w:val="00D12626"/>
    <w:rsid w:val="00D16813"/>
    <w:rsid w:val="00D21053"/>
    <w:rsid w:val="00D33399"/>
    <w:rsid w:val="00D3423D"/>
    <w:rsid w:val="00D50613"/>
    <w:rsid w:val="00D51274"/>
    <w:rsid w:val="00D54183"/>
    <w:rsid w:val="00D67557"/>
    <w:rsid w:val="00D73176"/>
    <w:rsid w:val="00D744FD"/>
    <w:rsid w:val="00DC24A2"/>
    <w:rsid w:val="00DC2D27"/>
    <w:rsid w:val="00DC6A24"/>
    <w:rsid w:val="00DD0184"/>
    <w:rsid w:val="00DD3CD7"/>
    <w:rsid w:val="00DD4934"/>
    <w:rsid w:val="00DD5AB9"/>
    <w:rsid w:val="00DD7754"/>
    <w:rsid w:val="00DE5F4B"/>
    <w:rsid w:val="00DF2DFA"/>
    <w:rsid w:val="00DF3B7A"/>
    <w:rsid w:val="00E001DA"/>
    <w:rsid w:val="00E032EE"/>
    <w:rsid w:val="00E14533"/>
    <w:rsid w:val="00E15CDD"/>
    <w:rsid w:val="00E178F0"/>
    <w:rsid w:val="00E217D5"/>
    <w:rsid w:val="00E2649E"/>
    <w:rsid w:val="00E30273"/>
    <w:rsid w:val="00E376F9"/>
    <w:rsid w:val="00E47232"/>
    <w:rsid w:val="00E50C3E"/>
    <w:rsid w:val="00E617CA"/>
    <w:rsid w:val="00E61ADE"/>
    <w:rsid w:val="00E6323B"/>
    <w:rsid w:val="00E659DE"/>
    <w:rsid w:val="00E67CDB"/>
    <w:rsid w:val="00E71F01"/>
    <w:rsid w:val="00E75BE0"/>
    <w:rsid w:val="00E84492"/>
    <w:rsid w:val="00E916A0"/>
    <w:rsid w:val="00EA37CC"/>
    <w:rsid w:val="00EB3182"/>
    <w:rsid w:val="00EB43EC"/>
    <w:rsid w:val="00EC3506"/>
    <w:rsid w:val="00EC37C7"/>
    <w:rsid w:val="00EC674A"/>
    <w:rsid w:val="00ED014A"/>
    <w:rsid w:val="00ED2661"/>
    <w:rsid w:val="00ED6C0F"/>
    <w:rsid w:val="00EE03DC"/>
    <w:rsid w:val="00EE6656"/>
    <w:rsid w:val="00EF75BF"/>
    <w:rsid w:val="00F06095"/>
    <w:rsid w:val="00F11FFB"/>
    <w:rsid w:val="00F14926"/>
    <w:rsid w:val="00F202FD"/>
    <w:rsid w:val="00F226EC"/>
    <w:rsid w:val="00F3463D"/>
    <w:rsid w:val="00F35A5E"/>
    <w:rsid w:val="00F37FA1"/>
    <w:rsid w:val="00F41866"/>
    <w:rsid w:val="00F432D2"/>
    <w:rsid w:val="00F444AA"/>
    <w:rsid w:val="00F5359C"/>
    <w:rsid w:val="00F56847"/>
    <w:rsid w:val="00F579FD"/>
    <w:rsid w:val="00F608DC"/>
    <w:rsid w:val="00F72A05"/>
    <w:rsid w:val="00F80CE6"/>
    <w:rsid w:val="00F9005A"/>
    <w:rsid w:val="00F9540A"/>
    <w:rsid w:val="00FA70EC"/>
    <w:rsid w:val="00FD72E4"/>
    <w:rsid w:val="00FE3194"/>
    <w:rsid w:val="00FE53A8"/>
    <w:rsid w:val="00FF15F9"/>
    <w:rsid w:val="00FF29E4"/>
    <w:rsid w:val="00FF4370"/>
    <w:rsid w:val="00FF480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D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1"/>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5053913">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2029</Words>
  <Characters>10187</Characters>
  <Application>Microsoft Office Word</Application>
  <DocSecurity>0</DocSecurity>
  <Lines>248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6</cp:revision>
  <dcterms:created xsi:type="dcterms:W3CDTF">2023-02-06T16:25:00Z</dcterms:created>
  <dcterms:modified xsi:type="dcterms:W3CDTF">2023-02-06T16:29:00Z</dcterms:modified>
</cp:coreProperties>
</file>